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יפעת שקדי שץ</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275B59" w:rsidRDefault="00A70081" w:rsidP="00A70081">
                <w:pPr>
                  <w:suppressLineNumbers/>
                  <w:rPr>
                    <w:rFonts w:ascii="Arial" w:hAnsi="Arial"/>
                    <w:b/>
                    <w:bCs/>
                    <w:noProof w:val="0"/>
                    <w:sz w:val="26"/>
                    <w:szCs w:val="26"/>
                    <w:rtl/>
                  </w:rPr>
                </w:pPr>
                <w:r>
                  <w:rPr>
                    <w:rFonts w:ascii="Arial" w:hAnsi="Arial" w:hint="cs"/>
                    <w:b/>
                    <w:bCs/>
                    <w:noProof w:val="0"/>
                    <w:sz w:val="26"/>
                    <w:szCs w:val="26"/>
                    <w:rtl/>
                  </w:rPr>
                  <w:t>תובע</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41541E" w:rsidP="000F7C34">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0F7C34">
                  <w:rPr>
                    <w:rFonts w:ascii="Arial" w:hAnsi="Arial" w:hint="cs"/>
                    <w:b/>
                    <w:bCs/>
                    <w:noProof w:val="0"/>
                    <w:sz w:val="26"/>
                    <w:szCs w:val="26"/>
                    <w:rtl/>
                  </w:rPr>
                  <w:t>פלוני</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85342525"/>
                <w:placeholder>
                  <w:docPart w:val="05E7DE95815641A5862D6440CD534EB0"/>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r w:rsidR="000F7C34">
              <w:rPr>
                <w:rFonts w:ascii="Arial" w:hAnsi="Arial" w:hint="cs"/>
                <w:b/>
                <w:bCs/>
                <w:noProof w:val="0"/>
                <w:sz w:val="26"/>
                <w:szCs w:val="26"/>
                <w:rtl/>
              </w:rPr>
              <w:t>-------</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A70081">
            <w:pPr>
              <w:suppressLineNumbers/>
              <w:jc w:val="center"/>
              <w:rPr>
                <w:rFonts w:ascii="Arial" w:hAnsi="Arial"/>
                <w:b/>
                <w:bCs/>
                <w:noProof w:val="0"/>
                <w:sz w:val="26"/>
                <w:szCs w:val="26"/>
              </w:rPr>
            </w:pPr>
            <w:r>
              <w:rPr>
                <w:rFonts w:ascii="Arial" w:hAnsi="Arial"/>
                <w:b/>
                <w:bCs/>
                <w:noProof w:val="0"/>
                <w:sz w:val="26"/>
                <w:szCs w:val="26"/>
                <w:rtl/>
              </w:rPr>
              <w:t>נגד</w:t>
            </w:r>
          </w:p>
        </w:tc>
      </w:tr>
      <w:tr w:rsidR="0094424E">
        <w:trPr>
          <w:jc w:val="center"/>
        </w:trPr>
        <w:tc>
          <w:tcPr>
            <w:tcW w:w="3249" w:type="dxa"/>
            <w:gridSpan w:val="2"/>
          </w:tcPr>
          <w:p w:rsidR="0094424E" w:rsidRDefault="0041541E" w:rsidP="00A70081">
            <w:pPr>
              <w:suppressLineNumbers/>
              <w:rPr>
                <w:rFonts w:ascii="Arial" w:hAnsi="Arial"/>
                <w:b/>
                <w:bCs/>
                <w:noProof w:val="0"/>
                <w:sz w:val="26"/>
                <w:szCs w:val="26"/>
              </w:rPr>
            </w:pPr>
            <w:sdt>
              <w:sdtPr>
                <w:rPr>
                  <w:rtl/>
                </w:rPr>
                <w:alias w:val="1184"/>
                <w:tag w:val="1184"/>
                <w:id w:val="-340621022"/>
                <w:text w:multiLine="1"/>
              </w:sdtPr>
              <w:sdtEndPr/>
              <w:sdtContent>
                <w:r w:rsidR="00A70081">
                  <w:rPr>
                    <w:rFonts w:ascii="Arial" w:hAnsi="Arial" w:hint="cs"/>
                    <w:b/>
                    <w:bCs/>
                    <w:noProof w:val="0"/>
                    <w:sz w:val="26"/>
                    <w:szCs w:val="26"/>
                    <w:rtl/>
                  </w:rPr>
                  <w:t>נתבעים</w:t>
                </w:r>
              </w:sdtContent>
            </w:sdt>
          </w:p>
        </w:tc>
        <w:tc>
          <w:tcPr>
            <w:tcW w:w="5571" w:type="dxa"/>
          </w:tcPr>
          <w:p w:rsidR="0094424E" w:rsidRPr="00E54CD9" w:rsidRDefault="0041541E" w:rsidP="000F7C34">
            <w:pPr>
              <w:suppressLineNumbers/>
              <w:rPr>
                <w:rFonts w:ascii="Arial" w:hAnsi="Arial"/>
                <w:b/>
                <w:bCs/>
                <w:noProof w:val="0"/>
                <w:sz w:val="26"/>
                <w:szCs w:val="26"/>
                <w:rtl/>
              </w:rPr>
            </w:pPr>
            <w:sdt>
              <w:sdtPr>
                <w:rPr>
                  <w:rtl/>
                </w:rPr>
                <w:alias w:val="1571"/>
                <w:tag w:val="1571"/>
                <w:id w:val="1028836282"/>
                <w:text w:multiLine="1"/>
              </w:sdtPr>
              <w:sdtEndPr/>
              <w:sdtContent>
                <w:r w:rsidR="00064651">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309872140"/>
                <w:text w:multiLine="1"/>
              </w:sdtPr>
              <w:sdtEndPr/>
              <w:sdtContent>
                <w:r w:rsidR="000F7C34">
                  <w:rPr>
                    <w:rFonts w:ascii="Arial" w:hAnsi="Arial" w:hint="cs"/>
                    <w:b/>
                    <w:bCs/>
                    <w:noProof w:val="0"/>
                    <w:sz w:val="26"/>
                    <w:szCs w:val="26"/>
                    <w:rtl/>
                  </w:rPr>
                  <w:t>אלמונית</w:t>
                </w:r>
              </w:sdtContent>
            </w:sdt>
            <w:r w:rsidR="00E54CD9">
              <w:rPr>
                <w:rFonts w:hint="cs"/>
                <w:rtl/>
              </w:rPr>
              <w:t xml:space="preserve"> </w:t>
            </w:r>
            <w:sdt>
              <w:sdtPr>
                <w:rPr>
                  <w:rFonts w:ascii="Arial" w:hAnsi="Arial" w:hint="cs"/>
                  <w:b/>
                  <w:bCs/>
                  <w:noProof w:val="0"/>
                  <w:sz w:val="26"/>
                  <w:szCs w:val="26"/>
                  <w:rtl/>
                </w:rPr>
                <w:alias w:val="2317"/>
                <w:tag w:val="2317"/>
                <w:id w:val="266818274"/>
                <w:placeholder>
                  <w:docPart w:val="BAA7C8D270FD4AD58EEC53F0343E378A"/>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0F7C34">
              <w:rPr>
                <w:rFonts w:ascii="Arial" w:hAnsi="Arial" w:hint="cs"/>
                <w:b/>
                <w:bCs/>
                <w:noProof w:val="0"/>
                <w:sz w:val="26"/>
                <w:szCs w:val="26"/>
                <w:rtl/>
              </w:rPr>
              <w:t>-------</w:t>
            </w:r>
          </w:p>
          <w:p w:rsidR="0094424E" w:rsidRPr="00E54CD9" w:rsidRDefault="0041541E" w:rsidP="000F7C34">
            <w:pPr>
              <w:suppressLineNumbers/>
              <w:rPr>
                <w:rFonts w:ascii="Arial" w:hAnsi="Arial"/>
                <w:b/>
                <w:bCs/>
                <w:noProof w:val="0"/>
                <w:sz w:val="26"/>
                <w:szCs w:val="26"/>
                <w:rtl/>
              </w:rPr>
            </w:pPr>
            <w:sdt>
              <w:sdtPr>
                <w:rPr>
                  <w:rtl/>
                </w:rPr>
                <w:alias w:val="1571"/>
                <w:tag w:val="1571"/>
                <w:id w:val="-427425090"/>
                <w:text w:multiLine="1"/>
              </w:sdtPr>
              <w:sdtEndPr/>
              <w:sdtContent>
                <w:r w:rsidR="00064651">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814105385"/>
                <w:text w:multiLine="1"/>
              </w:sdtPr>
              <w:sdtEndPr/>
              <w:sdtContent>
                <w:r w:rsidR="000F7C34">
                  <w:rPr>
                    <w:rFonts w:ascii="Arial" w:hAnsi="Arial" w:hint="cs"/>
                    <w:b/>
                    <w:bCs/>
                    <w:noProof w:val="0"/>
                    <w:sz w:val="26"/>
                    <w:szCs w:val="26"/>
                    <w:rtl/>
                  </w:rPr>
                  <w:t>ת.נ.</w:t>
                </w:r>
              </w:sdtContent>
            </w:sdt>
            <w:r w:rsidR="00E54CD9">
              <w:rPr>
                <w:rFonts w:hint="cs"/>
                <w:rtl/>
              </w:rPr>
              <w:t xml:space="preserve"> </w:t>
            </w:r>
            <w:sdt>
              <w:sdtPr>
                <w:rPr>
                  <w:rFonts w:ascii="Arial" w:hAnsi="Arial" w:hint="cs"/>
                  <w:b/>
                  <w:bCs/>
                  <w:noProof w:val="0"/>
                  <w:sz w:val="26"/>
                  <w:szCs w:val="26"/>
                  <w:rtl/>
                </w:rPr>
                <w:alias w:val="2317"/>
                <w:tag w:val="2317"/>
                <w:id w:val="-606119082"/>
                <w:placeholder>
                  <w:docPart w:val="BAA7C8D270FD4AD58EEC53F0343E378A"/>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0F7C34">
              <w:rPr>
                <w:rFonts w:ascii="Arial" w:hAnsi="Arial" w:hint="cs"/>
                <w:b/>
                <w:bCs/>
                <w:noProof w:val="0"/>
                <w:sz w:val="26"/>
                <w:szCs w:val="26"/>
                <w:rtl/>
              </w:rPr>
              <w:t>---------</w:t>
            </w:r>
          </w:p>
          <w:p w:rsidR="0094424E" w:rsidRPr="00E54CD9" w:rsidRDefault="0041541E" w:rsidP="000F7C34">
            <w:pPr>
              <w:suppressLineNumbers/>
              <w:rPr>
                <w:rFonts w:ascii="Arial" w:hAnsi="Arial"/>
                <w:b/>
                <w:bCs/>
                <w:noProof w:val="0"/>
                <w:sz w:val="26"/>
                <w:szCs w:val="26"/>
                <w:rtl/>
              </w:rPr>
            </w:pPr>
            <w:sdt>
              <w:sdtPr>
                <w:rPr>
                  <w:rtl/>
                </w:rPr>
                <w:alias w:val="1571"/>
                <w:tag w:val="1571"/>
                <w:id w:val="-1998636852"/>
                <w:text w:multiLine="1"/>
              </w:sdtPr>
              <w:sdtEndPr/>
              <w:sdtContent>
                <w:r w:rsidR="00064651">
                  <w:rPr>
                    <w:rFonts w:ascii="Arial" w:hAnsi="Arial"/>
                    <w:b/>
                    <w:bCs/>
                    <w:noProof w:val="0"/>
                    <w:sz w:val="26"/>
                    <w:szCs w:val="26"/>
                    <w:rtl/>
                  </w:rPr>
                  <w:t>3</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862819359"/>
                <w:text w:multiLine="1"/>
              </w:sdtPr>
              <w:sdtEndPr/>
              <w:sdtContent>
                <w:r w:rsidR="000F7C34">
                  <w:rPr>
                    <w:rFonts w:ascii="Arial" w:hAnsi="Arial" w:hint="cs"/>
                    <w:b/>
                    <w:bCs/>
                    <w:noProof w:val="0"/>
                    <w:sz w:val="26"/>
                    <w:szCs w:val="26"/>
                    <w:rtl/>
                  </w:rPr>
                  <w:t>ב.ר.</w:t>
                </w:r>
              </w:sdtContent>
            </w:sdt>
            <w:r w:rsidR="00E54CD9">
              <w:rPr>
                <w:rFonts w:hint="cs"/>
                <w:rtl/>
              </w:rPr>
              <w:t xml:space="preserve"> </w:t>
            </w:r>
            <w:sdt>
              <w:sdtPr>
                <w:rPr>
                  <w:rFonts w:ascii="Arial" w:hAnsi="Arial" w:hint="cs"/>
                  <w:b/>
                  <w:bCs/>
                  <w:noProof w:val="0"/>
                  <w:sz w:val="26"/>
                  <w:szCs w:val="26"/>
                  <w:rtl/>
                </w:rPr>
                <w:alias w:val="2317"/>
                <w:tag w:val="2317"/>
                <w:id w:val="46888787"/>
                <w:placeholder>
                  <w:docPart w:val="BAA7C8D270FD4AD58EEC53F0343E378A"/>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0F7C34">
              <w:rPr>
                <w:rFonts w:ascii="Arial" w:hAnsi="Arial" w:hint="cs"/>
                <w:b/>
                <w:bCs/>
                <w:noProof w:val="0"/>
                <w:sz w:val="26"/>
                <w:szCs w:val="26"/>
                <w:rtl/>
              </w:rPr>
              <w:t>--------</w:t>
            </w:r>
          </w:p>
        </w:tc>
      </w:tr>
      <w:tr w:rsidR="00CF6BB7" w:rsidTr="00280865">
        <w:trPr>
          <w:jc w:val="center"/>
        </w:trPr>
        <w:tc>
          <w:tcPr>
            <w:tcW w:w="8820" w:type="dxa"/>
            <w:gridSpan w:val="3"/>
          </w:tcPr>
          <w:p w:rsidR="00CF6BB7" w:rsidRPr="00996935" w:rsidRDefault="00CF6BB7" w:rsidP="00D44968">
            <w:pPr>
              <w:suppressLineNumbers/>
              <w:rPr>
                <w:rtl/>
              </w:rPr>
            </w:pPr>
          </w:p>
        </w:tc>
      </w:tr>
      <w:tr w:rsidR="00CF6BB7">
        <w:trPr>
          <w:jc w:val="center"/>
        </w:trPr>
        <w:tc>
          <w:tcPr>
            <w:tcW w:w="3249" w:type="dxa"/>
            <w:gridSpan w:val="2"/>
          </w:tcPr>
          <w:p w:rsidR="00275B59" w:rsidRDefault="00275B59">
            <w:pPr>
              <w:rPr>
                <w:rFonts w:ascii="David" w:eastAsia="David" w:hAnsi="David"/>
                <w:noProof w:val="0"/>
              </w:rPr>
            </w:pPr>
          </w:p>
        </w:tc>
        <w:tc>
          <w:tcPr>
            <w:tcW w:w="5571" w:type="dxa"/>
          </w:tcPr>
          <w:p w:rsidR="00275B59" w:rsidRDefault="00275B59">
            <w:pPr>
              <w:rPr>
                <w:b/>
                <w:bCs/>
                <w:sz w:val="26"/>
                <w:szCs w:val="26"/>
              </w:rPr>
            </w:pPr>
          </w:p>
        </w:tc>
      </w:tr>
      <w:tr w:rsidR="004C17EE" w:rsidTr="00D620FD">
        <w:trPr>
          <w:jc w:val="center"/>
        </w:trPr>
        <w:tc>
          <w:tcPr>
            <w:tcW w:w="8820" w:type="dxa"/>
            <w:gridSpan w:val="3"/>
          </w:tcPr>
          <w:p w:rsidR="00275B59" w:rsidRDefault="00275B59">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Pr="00DE1E7D" w:rsidRDefault="00694556">
      <w:pPr>
        <w:spacing w:line="360" w:lineRule="auto"/>
        <w:jc w:val="both"/>
        <w:rPr>
          <w:rFonts w:ascii="Arial" w:hAnsi="Arial"/>
          <w:noProof w:val="0"/>
          <w:rtl/>
        </w:rPr>
      </w:pPr>
      <w:bookmarkStart w:id="1" w:name="NGCSBookmark"/>
      <w:bookmarkEnd w:id="1"/>
    </w:p>
    <w:p w:rsidR="00694556" w:rsidRDefault="00A70081" w:rsidP="00860266">
      <w:pPr>
        <w:spacing w:after="120" w:line="360" w:lineRule="auto"/>
        <w:jc w:val="both"/>
        <w:rPr>
          <w:rFonts w:ascii="Arial" w:hAnsi="Arial"/>
          <w:b/>
          <w:bCs/>
          <w:noProof w:val="0"/>
          <w:u w:val="single"/>
          <w:rtl/>
        </w:rPr>
      </w:pPr>
      <w:r>
        <w:rPr>
          <w:rFonts w:ascii="Arial" w:hAnsi="Arial" w:hint="cs"/>
          <w:b/>
          <w:bCs/>
          <w:noProof w:val="0"/>
          <w:rtl/>
        </w:rPr>
        <w:t xml:space="preserve">בענין: </w:t>
      </w:r>
      <w:r>
        <w:rPr>
          <w:rFonts w:ascii="Arial" w:hAnsi="Arial" w:hint="cs"/>
          <w:b/>
          <w:bCs/>
          <w:noProof w:val="0"/>
          <w:u w:val="single"/>
          <w:rtl/>
        </w:rPr>
        <w:t>בקש</w:t>
      </w:r>
      <w:r w:rsidR="00860266">
        <w:rPr>
          <w:rFonts w:ascii="Arial" w:hAnsi="Arial" w:hint="cs"/>
          <w:b/>
          <w:bCs/>
          <w:noProof w:val="0"/>
          <w:u w:val="single"/>
          <w:rtl/>
        </w:rPr>
        <w:t>ות</w:t>
      </w:r>
      <w:r>
        <w:rPr>
          <w:rFonts w:ascii="Arial" w:hAnsi="Arial" w:hint="cs"/>
          <w:b/>
          <w:bCs/>
          <w:noProof w:val="0"/>
          <w:u w:val="single"/>
          <w:rtl/>
        </w:rPr>
        <w:t xml:space="preserve"> לסילוק התביעה על הסף</w:t>
      </w:r>
    </w:p>
    <w:p w:rsidR="00860266" w:rsidRDefault="00860266" w:rsidP="00860266">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ביום 18.6.2024 הגיש התובע "בקשה למינוי בורר" במסגרתה ביקש התובע, כי תופעל הסמכות המוקנית לבית המשפט מכח סעיף 8 לחוק הבוררות, התשכ"ח-1968 (</w:t>
      </w:r>
      <w:r>
        <w:rPr>
          <w:rFonts w:ascii="Arial" w:hAnsi="Arial" w:hint="cs"/>
          <w:b/>
          <w:bCs/>
          <w:noProof w:val="0"/>
          <w:rtl/>
        </w:rPr>
        <w:t>"חוק הבוררות"</w:t>
      </w:r>
      <w:r>
        <w:rPr>
          <w:rFonts w:ascii="Arial" w:hAnsi="Arial" w:hint="cs"/>
          <w:noProof w:val="0"/>
          <w:rtl/>
        </w:rPr>
        <w:t>) ויורה, בין היתר, על מינוי בורר במחלוקות בין התובע לנתבעת 1.</w:t>
      </w:r>
      <w:r w:rsidR="00D30A65">
        <w:rPr>
          <w:rFonts w:ascii="Arial" w:hAnsi="Arial" w:hint="cs"/>
          <w:noProof w:val="0"/>
          <w:rtl/>
        </w:rPr>
        <w:t xml:space="preserve"> עוד ביקש התובע, כי יורה בית המשפט על העברת הבוררים המוסכמים בין הצדדים מתפקידם.</w:t>
      </w:r>
    </w:p>
    <w:p w:rsidR="00860266" w:rsidRPr="00860266" w:rsidRDefault="00860266" w:rsidP="00860266">
      <w:pPr>
        <w:pStyle w:val="ad"/>
        <w:numPr>
          <w:ilvl w:val="0"/>
          <w:numId w:val="1"/>
        </w:numPr>
        <w:spacing w:after="120" w:line="360" w:lineRule="auto"/>
        <w:ind w:left="567" w:hanging="567"/>
        <w:contextualSpacing w:val="0"/>
        <w:jc w:val="both"/>
        <w:rPr>
          <w:rFonts w:ascii="Arial" w:hAnsi="Arial"/>
          <w:noProof w:val="0"/>
          <w:rtl/>
        </w:rPr>
      </w:pPr>
      <w:r>
        <w:rPr>
          <w:rFonts w:ascii="Arial" w:hAnsi="Arial" w:hint="cs"/>
          <w:noProof w:val="0"/>
          <w:rtl/>
        </w:rPr>
        <w:t>הפניית המחלוקות לבירור בהליך בוררות נסמכת, לטענת התובע, על הוראות הסכם שנחתם בין התובע ל</w:t>
      </w:r>
      <w:r w:rsidR="00E82877">
        <w:rPr>
          <w:rFonts w:ascii="Arial" w:hAnsi="Arial" w:hint="cs"/>
          <w:noProof w:val="0"/>
          <w:rtl/>
        </w:rPr>
        <w:t xml:space="preserve">נתבעת 1. הנתבעים 1-2 הגישו בקשות לסילוק ההליך על הסף והחלטה זו מכריעה בבקשות אלה. </w:t>
      </w:r>
    </w:p>
    <w:p w:rsidR="00A70081" w:rsidRPr="00A70081" w:rsidRDefault="00A70081" w:rsidP="00A70081">
      <w:pPr>
        <w:pStyle w:val="ad"/>
        <w:numPr>
          <w:ilvl w:val="0"/>
          <w:numId w:val="2"/>
        </w:numPr>
        <w:spacing w:after="120" w:line="360" w:lineRule="auto"/>
        <w:ind w:left="567" w:hanging="567"/>
        <w:contextualSpacing w:val="0"/>
        <w:jc w:val="both"/>
        <w:rPr>
          <w:rFonts w:ascii="Arial" w:hAnsi="Arial"/>
          <w:b/>
          <w:bCs/>
          <w:noProof w:val="0"/>
          <w:u w:val="single"/>
        </w:rPr>
      </w:pPr>
      <w:r w:rsidRPr="00A70081">
        <w:rPr>
          <w:rFonts w:ascii="Arial" w:hAnsi="Arial" w:hint="cs"/>
          <w:b/>
          <w:bCs/>
          <w:noProof w:val="0"/>
          <w:u w:val="single"/>
          <w:rtl/>
        </w:rPr>
        <w:t>רקע ופרטים נדרשים</w:t>
      </w:r>
    </w:p>
    <w:p w:rsidR="00D30A65" w:rsidRDefault="00A70081" w:rsidP="00A61FC0">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התובע והנתבעת 1 בני זוג לשעבר אשר הסדירו את המחלוקות הנובעות מהפרידה במסגרת הסכם אשר קיבל תוקף של פסק דין </w:t>
      </w:r>
      <w:r w:rsidR="00861F0D">
        <w:rPr>
          <w:rFonts w:ascii="Arial" w:hAnsi="Arial" w:hint="cs"/>
          <w:noProof w:val="0"/>
          <w:rtl/>
        </w:rPr>
        <w:t xml:space="preserve">ביום 22.10.2014 (תמ"ש 16298-07-14; </w:t>
      </w:r>
      <w:r w:rsidR="00861F0D">
        <w:rPr>
          <w:rFonts w:ascii="Arial" w:hAnsi="Arial" w:hint="cs"/>
          <w:b/>
          <w:bCs/>
          <w:noProof w:val="0"/>
          <w:rtl/>
        </w:rPr>
        <w:t>"ההסכם"</w:t>
      </w:r>
      <w:r w:rsidR="00861F0D">
        <w:rPr>
          <w:rFonts w:ascii="Arial" w:hAnsi="Arial" w:hint="cs"/>
          <w:noProof w:val="0"/>
          <w:rtl/>
        </w:rPr>
        <w:t>).</w:t>
      </w:r>
      <w:r w:rsidR="00F262D7">
        <w:rPr>
          <w:rFonts w:ascii="Arial" w:hAnsi="Arial" w:hint="cs"/>
          <w:noProof w:val="0"/>
          <w:rtl/>
        </w:rPr>
        <w:t xml:space="preserve"> </w:t>
      </w:r>
    </w:p>
    <w:p w:rsidR="00A70081" w:rsidRPr="00A70081" w:rsidRDefault="00F262D7" w:rsidP="00D30A65">
      <w:pPr>
        <w:pStyle w:val="ad"/>
        <w:spacing w:after="120" w:line="360" w:lineRule="auto"/>
        <w:ind w:left="567"/>
        <w:contextualSpacing w:val="0"/>
        <w:jc w:val="both"/>
        <w:rPr>
          <w:rFonts w:ascii="Arial" w:hAnsi="Arial"/>
          <w:noProof w:val="0"/>
        </w:rPr>
      </w:pPr>
      <w:r>
        <w:rPr>
          <w:rFonts w:ascii="Arial" w:hAnsi="Arial" w:hint="cs"/>
          <w:noProof w:val="0"/>
          <w:rtl/>
        </w:rPr>
        <w:t>הנתבע 2, עורך דין, אביה של הנתבעת 1</w:t>
      </w:r>
      <w:r w:rsidR="00D30A65">
        <w:rPr>
          <w:rFonts w:ascii="Arial" w:hAnsi="Arial" w:hint="cs"/>
          <w:noProof w:val="0"/>
          <w:rtl/>
        </w:rPr>
        <w:t>, אשר נטען שהיה מעורב בעריכת ההסכם</w:t>
      </w:r>
      <w:r>
        <w:rPr>
          <w:rFonts w:ascii="Arial" w:hAnsi="Arial" w:hint="cs"/>
          <w:noProof w:val="0"/>
          <w:rtl/>
        </w:rPr>
        <w:t xml:space="preserve"> והנתבע 3, עורך דין, ייצג את התובע בהלי</w:t>
      </w:r>
      <w:r w:rsidR="00A61FC0">
        <w:rPr>
          <w:rFonts w:ascii="Arial" w:hAnsi="Arial" w:hint="cs"/>
          <w:noProof w:val="0"/>
          <w:rtl/>
        </w:rPr>
        <w:t xml:space="preserve">ך הקודם אשר הסתיים עם חתימת ההסכם. </w:t>
      </w:r>
    </w:p>
    <w:p w:rsidR="00A70081" w:rsidRDefault="00D54277" w:rsidP="000F7C34">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במסגרת ההסכם סיכמו הצדדים, בין היתר, </w:t>
      </w:r>
      <w:r w:rsidR="00FD6D00">
        <w:rPr>
          <w:rFonts w:ascii="Arial" w:hAnsi="Arial" w:hint="cs"/>
          <w:noProof w:val="0"/>
          <w:rtl/>
        </w:rPr>
        <w:t>כי כל החברות הרשומות על שם הצדדים יחד או לחוד יועברו לבעלותו הבלעדית של התובע (</w:t>
      </w:r>
      <w:r w:rsidR="00FD6D00">
        <w:rPr>
          <w:rFonts w:ascii="Arial" w:hAnsi="Arial" w:hint="cs"/>
          <w:b/>
          <w:bCs/>
          <w:noProof w:val="0"/>
          <w:rtl/>
        </w:rPr>
        <w:t>"</w:t>
      </w:r>
      <w:r w:rsidR="000F7C34">
        <w:rPr>
          <w:rFonts w:ascii="Arial" w:hAnsi="Arial" w:hint="cs"/>
          <w:b/>
          <w:bCs/>
          <w:noProof w:val="0"/>
          <w:rtl/>
        </w:rPr>
        <w:t>פלוני</w:t>
      </w:r>
      <w:r w:rsidR="00FD6D00">
        <w:rPr>
          <w:rFonts w:ascii="Arial" w:hAnsi="Arial" w:hint="cs"/>
          <w:b/>
          <w:bCs/>
          <w:noProof w:val="0"/>
          <w:rtl/>
        </w:rPr>
        <w:t>"</w:t>
      </w:r>
      <w:r w:rsidR="00FD6D00">
        <w:rPr>
          <w:rFonts w:ascii="Arial" w:hAnsi="Arial" w:hint="cs"/>
          <w:noProof w:val="0"/>
          <w:rtl/>
        </w:rPr>
        <w:t>) ובכלל כך מניות אשר אינן רשומות על שמו וכן מניות הרשומות על שם הנתבע 2 (סעיף 44).</w:t>
      </w:r>
    </w:p>
    <w:p w:rsidR="00002C91" w:rsidRDefault="000F7C34" w:rsidP="000F7C34">
      <w:pPr>
        <w:pStyle w:val="ad"/>
        <w:spacing w:after="120" w:line="360" w:lineRule="auto"/>
        <w:ind w:left="567"/>
        <w:contextualSpacing w:val="0"/>
        <w:jc w:val="both"/>
        <w:rPr>
          <w:rFonts w:ascii="Arial" w:hAnsi="Arial"/>
          <w:noProof w:val="0"/>
          <w:rtl/>
        </w:rPr>
      </w:pPr>
      <w:r>
        <w:rPr>
          <w:rFonts w:ascii="Arial" w:hAnsi="Arial" w:hint="cs"/>
          <w:noProof w:val="0"/>
          <w:rtl/>
        </w:rPr>
        <w:lastRenderedPageBreak/>
        <w:t>פלוני</w:t>
      </w:r>
      <w:r w:rsidR="00002C91">
        <w:rPr>
          <w:rFonts w:ascii="Arial" w:hAnsi="Arial" w:hint="cs"/>
          <w:noProof w:val="0"/>
          <w:rtl/>
        </w:rPr>
        <w:t xml:space="preserve"> התחייב, בשמו ובשם כל החברות שבשליטתו, שלא לתבוע את הנתבע 2 או את </w:t>
      </w:r>
      <w:r>
        <w:rPr>
          <w:rFonts w:ascii="Arial" w:hAnsi="Arial" w:hint="cs"/>
          <w:noProof w:val="0"/>
          <w:rtl/>
        </w:rPr>
        <w:t xml:space="preserve">אלמונית </w:t>
      </w:r>
      <w:r w:rsidR="00002C91">
        <w:rPr>
          <w:rFonts w:ascii="Arial" w:hAnsi="Arial" w:hint="cs"/>
          <w:noProof w:val="0"/>
          <w:rtl/>
        </w:rPr>
        <w:t>בגין כל אחת מהחברות המפורטות בהסכם וכן לשפות אותה או את הנתבע 2 על כל דרישת תשלום או חיוב שיופנו אליהם.</w:t>
      </w:r>
    </w:p>
    <w:p w:rsidR="00F262D7" w:rsidRDefault="00FD6D00" w:rsidP="000F7C34">
      <w:pPr>
        <w:pStyle w:val="ad"/>
        <w:spacing w:after="120" w:line="360" w:lineRule="auto"/>
        <w:ind w:left="567"/>
        <w:contextualSpacing w:val="0"/>
        <w:jc w:val="both"/>
        <w:rPr>
          <w:rFonts w:ascii="Arial" w:hAnsi="Arial"/>
          <w:noProof w:val="0"/>
          <w:rtl/>
        </w:rPr>
      </w:pPr>
      <w:r>
        <w:rPr>
          <w:rFonts w:ascii="Arial" w:hAnsi="Arial" w:hint="cs"/>
          <w:noProof w:val="0"/>
          <w:rtl/>
        </w:rPr>
        <w:t>עוד הוסכם, כי הנתבעת 1 (</w:t>
      </w:r>
      <w:r>
        <w:rPr>
          <w:rFonts w:ascii="Arial" w:hAnsi="Arial" w:hint="cs"/>
          <w:b/>
          <w:bCs/>
          <w:noProof w:val="0"/>
          <w:rtl/>
        </w:rPr>
        <w:t>"</w:t>
      </w:r>
      <w:r w:rsidR="000F7C34">
        <w:rPr>
          <w:rFonts w:ascii="Arial" w:hAnsi="Arial" w:hint="cs"/>
          <w:b/>
          <w:bCs/>
          <w:noProof w:val="0"/>
          <w:rtl/>
        </w:rPr>
        <w:t>אלמונית</w:t>
      </w:r>
      <w:r>
        <w:rPr>
          <w:rFonts w:ascii="Arial" w:hAnsi="Arial" w:hint="cs"/>
          <w:b/>
          <w:bCs/>
          <w:noProof w:val="0"/>
          <w:rtl/>
        </w:rPr>
        <w:t>"</w:t>
      </w:r>
      <w:r>
        <w:rPr>
          <w:rFonts w:ascii="Arial" w:hAnsi="Arial" w:hint="cs"/>
          <w:noProof w:val="0"/>
          <w:rtl/>
        </w:rPr>
        <w:t xml:space="preserve">) תועסק בחברת </w:t>
      </w:r>
      <w:r w:rsidR="000F7C34">
        <w:rPr>
          <w:rFonts w:ascii="Arial" w:hAnsi="Arial" w:hint="cs"/>
          <w:noProof w:val="0"/>
          <w:rtl/>
        </w:rPr>
        <w:t>------</w:t>
      </w:r>
      <w:r>
        <w:rPr>
          <w:rFonts w:ascii="Arial" w:hAnsi="Arial" w:hint="cs"/>
          <w:noProof w:val="0"/>
          <w:rtl/>
        </w:rPr>
        <w:t xml:space="preserve"> בע"מ (</w:t>
      </w:r>
      <w:r>
        <w:rPr>
          <w:rFonts w:ascii="Arial" w:hAnsi="Arial" w:hint="cs"/>
          <w:b/>
          <w:bCs/>
          <w:noProof w:val="0"/>
          <w:rtl/>
        </w:rPr>
        <w:t>"החברה"</w:t>
      </w:r>
      <w:r>
        <w:rPr>
          <w:rFonts w:ascii="Arial" w:hAnsi="Arial" w:hint="cs"/>
          <w:noProof w:val="0"/>
          <w:rtl/>
        </w:rPr>
        <w:t xml:space="preserve">) במשך תקופה של שנה ממועד החתימה על ההסכם. הוסכם השכר שישולם לה </w:t>
      </w:r>
      <w:r w:rsidR="00D30A65">
        <w:rPr>
          <w:rFonts w:ascii="Arial" w:hAnsi="Arial" w:hint="cs"/>
          <w:noProof w:val="0"/>
          <w:rtl/>
        </w:rPr>
        <w:t>-</w:t>
      </w:r>
      <w:r>
        <w:rPr>
          <w:rFonts w:ascii="Arial" w:hAnsi="Arial" w:hint="cs"/>
          <w:noProof w:val="0"/>
          <w:rtl/>
        </w:rPr>
        <w:t xml:space="preserve"> שכר חודשי בסיסי בסך 10,000 </w:t>
      </w:r>
      <w:r w:rsidR="00D30A65">
        <w:rPr>
          <w:rFonts w:ascii="Arial" w:hAnsi="Arial" w:hint="cs"/>
          <w:noProof w:val="0"/>
          <w:rtl/>
        </w:rPr>
        <w:t>ש"ח</w:t>
      </w:r>
      <w:r>
        <w:rPr>
          <w:rFonts w:ascii="Arial" w:hAnsi="Arial" w:hint="cs"/>
          <w:noProof w:val="0"/>
          <w:rtl/>
        </w:rPr>
        <w:t xml:space="preserve"> בתוספת תנאים סוציאליים מכח יחסי עובד מעביד וכן ישולמו עמלות עבור מכירת מוצרים מהמלאי או מוצרים שמקורן ברכישת סחורה מספקים חיצוניים בשיעור של 10% מסכום העסקה. בעסקאות שבהן הסחורה יובאה עבור הלקוח, סכום העמלה יהיה בגובה שליש מרווח העסקה המחושב כהפרש בין מחיר הרכישה ומחיר המכירה</w:t>
      </w:r>
      <w:r w:rsidR="00F262D7">
        <w:rPr>
          <w:rFonts w:ascii="Arial" w:hAnsi="Arial" w:hint="cs"/>
          <w:noProof w:val="0"/>
          <w:rtl/>
        </w:rPr>
        <w:t xml:space="preserve"> (סעיף 46)</w:t>
      </w:r>
      <w:r>
        <w:rPr>
          <w:rFonts w:ascii="Arial" w:hAnsi="Arial" w:hint="cs"/>
          <w:noProof w:val="0"/>
          <w:rtl/>
        </w:rPr>
        <w:t>.</w:t>
      </w:r>
    </w:p>
    <w:p w:rsidR="00FD6D00" w:rsidRDefault="00F262D7" w:rsidP="000F7C34">
      <w:pPr>
        <w:pStyle w:val="ad"/>
        <w:spacing w:after="120" w:line="360" w:lineRule="auto"/>
        <w:ind w:left="567"/>
        <w:contextualSpacing w:val="0"/>
        <w:jc w:val="both"/>
        <w:rPr>
          <w:rFonts w:ascii="Arial" w:hAnsi="Arial"/>
          <w:noProof w:val="0"/>
          <w:rtl/>
        </w:rPr>
      </w:pPr>
      <w:r>
        <w:rPr>
          <w:rFonts w:ascii="Arial" w:hAnsi="Arial" w:hint="cs"/>
          <w:noProof w:val="0"/>
          <w:rtl/>
        </w:rPr>
        <w:t xml:space="preserve">הצדדים הסכימו, כי במשך 24 חודשים מסיום ההעסקה של </w:t>
      </w:r>
      <w:r w:rsidR="000F7C34">
        <w:rPr>
          <w:rFonts w:ascii="Arial" w:hAnsi="Arial" w:hint="cs"/>
          <w:noProof w:val="0"/>
          <w:rtl/>
        </w:rPr>
        <w:t>אלמונית</w:t>
      </w:r>
      <w:r>
        <w:rPr>
          <w:rFonts w:ascii="Arial" w:hAnsi="Arial" w:hint="cs"/>
          <w:noProof w:val="0"/>
          <w:rtl/>
        </w:rPr>
        <w:t>, היא לא תעשה שימוש במידע אותו רכשה בעב</w:t>
      </w:r>
      <w:r w:rsidR="00D30A65">
        <w:rPr>
          <w:rFonts w:ascii="Arial" w:hAnsi="Arial" w:hint="cs"/>
          <w:noProof w:val="0"/>
          <w:rtl/>
        </w:rPr>
        <w:t>וד</w:t>
      </w:r>
      <w:r>
        <w:rPr>
          <w:rFonts w:ascii="Arial" w:hAnsi="Arial" w:hint="cs"/>
          <w:noProof w:val="0"/>
          <w:rtl/>
        </w:rPr>
        <w:t xml:space="preserve">תה בחברת </w:t>
      </w:r>
      <w:r w:rsidR="000F7C34">
        <w:rPr>
          <w:rFonts w:ascii="Arial" w:hAnsi="Arial" w:hint="cs"/>
          <w:noProof w:val="0"/>
          <w:rtl/>
        </w:rPr>
        <w:t>------</w:t>
      </w:r>
      <w:r>
        <w:rPr>
          <w:rFonts w:ascii="Arial" w:hAnsi="Arial" w:hint="cs"/>
          <w:noProof w:val="0"/>
          <w:rtl/>
        </w:rPr>
        <w:t xml:space="preserve"> בע"מ (סעיף 46).</w:t>
      </w:r>
    </w:p>
    <w:p w:rsidR="00A61FC0" w:rsidRPr="00A61FC0" w:rsidRDefault="00A61FC0" w:rsidP="000F7C34">
      <w:pPr>
        <w:pStyle w:val="ad"/>
        <w:spacing w:after="120" w:line="360" w:lineRule="auto"/>
        <w:ind w:left="567"/>
        <w:contextualSpacing w:val="0"/>
        <w:jc w:val="both"/>
        <w:rPr>
          <w:rFonts w:ascii="Arial" w:hAnsi="Arial"/>
          <w:b/>
          <w:bCs/>
          <w:noProof w:val="0"/>
          <w:rtl/>
        </w:rPr>
      </w:pPr>
      <w:r>
        <w:rPr>
          <w:rFonts w:ascii="Arial" w:hAnsi="Arial" w:hint="cs"/>
          <w:noProof w:val="0"/>
          <w:rtl/>
        </w:rPr>
        <w:t xml:space="preserve">הצדדים הסכימו, כי </w:t>
      </w:r>
      <w:r>
        <w:rPr>
          <w:rFonts w:ascii="Arial" w:hAnsi="Arial" w:hint="cs"/>
          <w:b/>
          <w:bCs/>
          <w:noProof w:val="0"/>
          <w:rtl/>
        </w:rPr>
        <w:t xml:space="preserve">"בכל מחלוקת עתידית ביניהם ובכל דבר וענין נשוא הסכם זה ו/או בכלל ממנים הם את עוה"ד </w:t>
      </w:r>
      <w:r w:rsidR="000F7C34">
        <w:rPr>
          <w:rFonts w:ascii="Arial" w:hAnsi="Arial" w:hint="cs"/>
          <w:b/>
          <w:bCs/>
          <w:noProof w:val="0"/>
          <w:rtl/>
        </w:rPr>
        <w:t>----</w:t>
      </w:r>
      <w:r>
        <w:rPr>
          <w:rFonts w:ascii="Arial" w:hAnsi="Arial" w:hint="cs"/>
          <w:b/>
          <w:bCs/>
          <w:noProof w:val="0"/>
          <w:rtl/>
        </w:rPr>
        <w:t xml:space="preserve"> ועו"ד </w:t>
      </w:r>
      <w:r w:rsidR="000F7C34">
        <w:rPr>
          <w:rFonts w:ascii="Arial" w:hAnsi="Arial" w:hint="cs"/>
          <w:b/>
          <w:bCs/>
          <w:noProof w:val="0"/>
          <w:rtl/>
        </w:rPr>
        <w:t>-----</w:t>
      </w:r>
      <w:r>
        <w:rPr>
          <w:rFonts w:ascii="Arial" w:hAnsi="Arial" w:hint="cs"/>
          <w:b/>
          <w:bCs/>
          <w:noProof w:val="0"/>
          <w:rtl/>
        </w:rPr>
        <w:t xml:space="preserve"> כבוררים במשותף להכרעה בכל סוגייה או מחל</w:t>
      </w:r>
      <w:r w:rsidR="003C737D">
        <w:rPr>
          <w:rFonts w:ascii="Arial" w:hAnsi="Arial" w:hint="cs"/>
          <w:b/>
          <w:bCs/>
          <w:noProof w:val="0"/>
          <w:rtl/>
        </w:rPr>
        <w:t>ו</w:t>
      </w:r>
      <w:r>
        <w:rPr>
          <w:rFonts w:ascii="Arial" w:hAnsi="Arial" w:hint="cs"/>
          <w:b/>
          <w:bCs/>
          <w:noProof w:val="0"/>
          <w:rtl/>
        </w:rPr>
        <w:t xml:space="preserve">קת כאמור וזאת לכל דבר וענין". </w:t>
      </w:r>
    </w:p>
    <w:p w:rsidR="00694556" w:rsidRDefault="00FB6A01" w:rsidP="00A61FC0">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ביום 24.4.2024 שלחה </w:t>
      </w:r>
      <w:r w:rsidR="000F7C34">
        <w:rPr>
          <w:rFonts w:ascii="Arial" w:hAnsi="Arial" w:hint="cs"/>
          <w:noProof w:val="0"/>
          <w:rtl/>
        </w:rPr>
        <w:t>אלמונית</w:t>
      </w:r>
      <w:r>
        <w:rPr>
          <w:rFonts w:ascii="Arial" w:hAnsi="Arial" w:hint="cs"/>
          <w:noProof w:val="0"/>
          <w:rtl/>
        </w:rPr>
        <w:t xml:space="preserve"> מכתב לחברה וטענה טענות שונות בכל הנוגע לחישוב עמלות ששולמו לה בחסר, קיזוזים שבוצעה משכרה (קיזוז תשלומים לביטוח לאומי, קיזוז ימי חופשה, קיזוז מקדמה וחוב</w:t>
      </w:r>
      <w:r w:rsidR="00D30A65">
        <w:rPr>
          <w:rFonts w:ascii="Arial" w:hAnsi="Arial" w:hint="cs"/>
          <w:noProof w:val="0"/>
          <w:rtl/>
        </w:rPr>
        <w:t>ות שונים</w:t>
      </w:r>
      <w:r>
        <w:rPr>
          <w:rFonts w:ascii="Arial" w:hAnsi="Arial" w:hint="cs"/>
          <w:noProof w:val="0"/>
          <w:rtl/>
        </w:rPr>
        <w:t xml:space="preserve"> שנטען שלא קיימים), תשלום חסר עבור הוצאו</w:t>
      </w:r>
      <w:r w:rsidR="00D30A65">
        <w:rPr>
          <w:rFonts w:ascii="Arial" w:hAnsi="Arial" w:hint="cs"/>
          <w:noProof w:val="0"/>
          <w:rtl/>
        </w:rPr>
        <w:t>ת רכב, ניכוי ימי חופשה, אי פדיו</w:t>
      </w:r>
      <w:r>
        <w:rPr>
          <w:rFonts w:ascii="Arial" w:hAnsi="Arial" w:hint="cs"/>
          <w:noProof w:val="0"/>
          <w:rtl/>
        </w:rPr>
        <w:t>ן</w:t>
      </w:r>
      <w:r w:rsidR="00D30A65">
        <w:rPr>
          <w:rFonts w:ascii="Arial" w:hAnsi="Arial" w:hint="cs"/>
          <w:noProof w:val="0"/>
          <w:rtl/>
        </w:rPr>
        <w:t xml:space="preserve"> </w:t>
      </w:r>
      <w:r>
        <w:rPr>
          <w:rFonts w:ascii="Arial" w:hAnsi="Arial" w:hint="cs"/>
          <w:noProof w:val="0"/>
          <w:rtl/>
        </w:rPr>
        <w:t xml:space="preserve">ימי חופשה </w:t>
      </w:r>
      <w:r w:rsidR="000D6653">
        <w:rPr>
          <w:rFonts w:ascii="Arial" w:hAnsi="Arial" w:hint="cs"/>
          <w:noProof w:val="0"/>
          <w:rtl/>
        </w:rPr>
        <w:t xml:space="preserve">וקיזוז מתוך סכום ששולם על ידי </w:t>
      </w:r>
      <w:r w:rsidR="00D30A65">
        <w:rPr>
          <w:rFonts w:ascii="Arial" w:hAnsi="Arial" w:hint="cs"/>
          <w:noProof w:val="0"/>
          <w:rtl/>
        </w:rPr>
        <w:t>הביטוח לאומי בתקופת חל"ת בשל מג</w:t>
      </w:r>
      <w:r w:rsidR="000D6653">
        <w:rPr>
          <w:rFonts w:ascii="Arial" w:hAnsi="Arial" w:hint="cs"/>
          <w:noProof w:val="0"/>
          <w:rtl/>
        </w:rPr>
        <w:t>פת הקורונה (</w:t>
      </w:r>
      <w:r w:rsidR="000D6653">
        <w:rPr>
          <w:rFonts w:ascii="Arial" w:hAnsi="Arial" w:hint="cs"/>
          <w:b/>
          <w:bCs/>
          <w:noProof w:val="0"/>
          <w:rtl/>
        </w:rPr>
        <w:t>"מכתב הדרישה"</w:t>
      </w:r>
      <w:r w:rsidR="000D6653">
        <w:rPr>
          <w:rFonts w:ascii="Arial" w:hAnsi="Arial" w:hint="cs"/>
          <w:noProof w:val="0"/>
          <w:rtl/>
        </w:rPr>
        <w:t xml:space="preserve">). </w:t>
      </w:r>
    </w:p>
    <w:p w:rsidR="00FB6A01" w:rsidRDefault="00FB6A01" w:rsidP="000D6653">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לטענת </w:t>
      </w:r>
      <w:r w:rsidR="000F7C34">
        <w:rPr>
          <w:rFonts w:ascii="Arial" w:hAnsi="Arial" w:hint="cs"/>
          <w:noProof w:val="0"/>
          <w:rtl/>
        </w:rPr>
        <w:t>פלוני</w:t>
      </w:r>
      <w:r w:rsidR="000D6653">
        <w:rPr>
          <w:rFonts w:ascii="Arial" w:hAnsi="Arial" w:hint="cs"/>
          <w:noProof w:val="0"/>
          <w:rtl/>
        </w:rPr>
        <w:t xml:space="preserve">, שליחת </w:t>
      </w:r>
      <w:r>
        <w:rPr>
          <w:rFonts w:ascii="Arial" w:hAnsi="Arial" w:hint="cs"/>
          <w:noProof w:val="0"/>
          <w:rtl/>
        </w:rPr>
        <w:t xml:space="preserve">מכתב </w:t>
      </w:r>
      <w:r w:rsidR="000D6653">
        <w:rPr>
          <w:rFonts w:ascii="Arial" w:hAnsi="Arial" w:hint="cs"/>
          <w:noProof w:val="0"/>
          <w:rtl/>
        </w:rPr>
        <w:t xml:space="preserve">הדרישה </w:t>
      </w:r>
      <w:r>
        <w:rPr>
          <w:rFonts w:ascii="Arial" w:hAnsi="Arial" w:hint="cs"/>
          <w:noProof w:val="0"/>
          <w:rtl/>
        </w:rPr>
        <w:t>אינה מתיישבת עם לשון ההסכם, התנהגות הצדדים</w:t>
      </w:r>
      <w:r w:rsidR="000D6653">
        <w:rPr>
          <w:rFonts w:ascii="Arial" w:hAnsi="Arial" w:hint="cs"/>
          <w:noProof w:val="0"/>
          <w:rtl/>
        </w:rPr>
        <w:t xml:space="preserve"> והרציונל שהיה בבסיסו של ההסכם ועל כן הוגש ההליך שבפניי במסגרתו התבקש בית המשפט להפעיל את מנגנון הבוררות בהסכם ולהורות על החלפת הבוררים בשל נגיעה אישית של הנתבע 2 לענין הנדון ובשל האפשרות שינוהלו הליכים גם נגדו.  </w:t>
      </w:r>
    </w:p>
    <w:p w:rsidR="000D6653" w:rsidRDefault="000D6653" w:rsidP="000D6653">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אציין, כי למכתב הדרישה נשלח מענה במסגרתו הוצגה התייחסות לכל טענה וטענה שהועלתה במכתב הדרישה והועלו טענות כלפי </w:t>
      </w:r>
      <w:r w:rsidR="000F7C34">
        <w:rPr>
          <w:rFonts w:ascii="Arial" w:hAnsi="Arial" w:hint="cs"/>
          <w:noProof w:val="0"/>
          <w:rtl/>
        </w:rPr>
        <w:t>אלמונית</w:t>
      </w:r>
      <w:r>
        <w:rPr>
          <w:rFonts w:ascii="Arial" w:hAnsi="Arial" w:hint="cs"/>
          <w:noProof w:val="0"/>
          <w:rtl/>
        </w:rPr>
        <w:t xml:space="preserve"> ובכלל כך</w:t>
      </w:r>
      <w:r w:rsidR="0093039F">
        <w:rPr>
          <w:rFonts w:ascii="Arial" w:hAnsi="Arial" w:hint="cs"/>
          <w:noProof w:val="0"/>
          <w:rtl/>
        </w:rPr>
        <w:t xml:space="preserve"> טענות בנוגע להתנהלות במסגרת יחסי ההעסקה וכן טענות בדבר חשד לביצוע עוולות מסחריות. </w:t>
      </w:r>
    </w:p>
    <w:p w:rsidR="00860266" w:rsidRPr="00860266" w:rsidRDefault="00860266" w:rsidP="00860266">
      <w:pPr>
        <w:pStyle w:val="ad"/>
        <w:numPr>
          <w:ilvl w:val="0"/>
          <w:numId w:val="2"/>
        </w:numPr>
        <w:spacing w:after="120" w:line="360" w:lineRule="auto"/>
        <w:ind w:left="567" w:hanging="567"/>
        <w:contextualSpacing w:val="0"/>
        <w:jc w:val="both"/>
        <w:rPr>
          <w:rFonts w:ascii="Arial" w:hAnsi="Arial"/>
          <w:b/>
          <w:bCs/>
          <w:noProof w:val="0"/>
          <w:u w:val="single"/>
        </w:rPr>
      </w:pPr>
      <w:r w:rsidRPr="00860266">
        <w:rPr>
          <w:rFonts w:ascii="Arial" w:hAnsi="Arial" w:hint="cs"/>
          <w:b/>
          <w:bCs/>
          <w:noProof w:val="0"/>
          <w:u w:val="single"/>
          <w:rtl/>
        </w:rPr>
        <w:t xml:space="preserve">בקשת הנתבע 2 לסילוק התביעה על הסף </w:t>
      </w:r>
    </w:p>
    <w:p w:rsidR="00D30A65" w:rsidRDefault="00860266" w:rsidP="00E74384">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ביום 30.6.20</w:t>
      </w:r>
      <w:r w:rsidR="00E82877">
        <w:rPr>
          <w:rFonts w:ascii="Arial" w:hAnsi="Arial" w:hint="cs"/>
          <w:noProof w:val="0"/>
          <w:rtl/>
        </w:rPr>
        <w:t xml:space="preserve">24 הגיש הנתבע 2 בקשה לסילוק ההליך על הסף. לטענתו, המחלוקת היחידה הקיימת, ככל וקיימת, היא בין </w:t>
      </w:r>
      <w:r w:rsidR="000F7C34">
        <w:rPr>
          <w:rFonts w:ascii="Arial" w:hAnsi="Arial" w:hint="cs"/>
          <w:noProof w:val="0"/>
          <w:rtl/>
        </w:rPr>
        <w:t>פלוני</w:t>
      </w:r>
      <w:r w:rsidR="00E82877">
        <w:rPr>
          <w:rFonts w:ascii="Arial" w:hAnsi="Arial" w:hint="cs"/>
          <w:noProof w:val="0"/>
          <w:rtl/>
        </w:rPr>
        <w:t xml:space="preserve"> ו</w:t>
      </w:r>
      <w:r w:rsidR="000F7C34">
        <w:rPr>
          <w:rFonts w:ascii="Arial" w:hAnsi="Arial" w:hint="cs"/>
          <w:noProof w:val="0"/>
          <w:rtl/>
        </w:rPr>
        <w:t>אלמונית</w:t>
      </w:r>
      <w:r w:rsidR="00E82877">
        <w:rPr>
          <w:rFonts w:ascii="Arial" w:hAnsi="Arial" w:hint="cs"/>
          <w:noProof w:val="0"/>
          <w:rtl/>
        </w:rPr>
        <w:t xml:space="preserve"> ו/או </w:t>
      </w:r>
      <w:r w:rsidR="00E74384">
        <w:rPr>
          <w:rFonts w:ascii="Arial" w:hAnsi="Arial" w:hint="cs"/>
          <w:noProof w:val="0"/>
          <w:rtl/>
        </w:rPr>
        <w:t>ה</w:t>
      </w:r>
      <w:r w:rsidR="00E52CAD">
        <w:rPr>
          <w:rFonts w:ascii="Arial" w:hAnsi="Arial" w:hint="cs"/>
          <w:noProof w:val="0"/>
          <w:rtl/>
        </w:rPr>
        <w:t>חברה</w:t>
      </w:r>
      <w:r w:rsidR="00E82877">
        <w:rPr>
          <w:rFonts w:ascii="Arial" w:hAnsi="Arial" w:hint="cs"/>
          <w:noProof w:val="0"/>
          <w:rtl/>
        </w:rPr>
        <w:t xml:space="preserve"> שאינה צד להסכם הגירושין. נטען, כי המחלוקות נוגעות ליחסי עובד מעביד ששררו בין </w:t>
      </w:r>
      <w:r w:rsidR="000F7C34">
        <w:rPr>
          <w:rFonts w:ascii="Arial" w:hAnsi="Arial" w:hint="cs"/>
          <w:noProof w:val="0"/>
          <w:rtl/>
        </w:rPr>
        <w:t>אלמונית</w:t>
      </w:r>
      <w:r w:rsidR="00E82877">
        <w:rPr>
          <w:rFonts w:ascii="Arial" w:hAnsi="Arial" w:hint="cs"/>
          <w:noProof w:val="0"/>
          <w:rtl/>
        </w:rPr>
        <w:t xml:space="preserve"> לבין החברה בבעלותו של </w:t>
      </w:r>
      <w:r w:rsidR="000F7C34">
        <w:rPr>
          <w:rFonts w:ascii="Arial" w:hAnsi="Arial" w:hint="cs"/>
          <w:noProof w:val="0"/>
          <w:rtl/>
        </w:rPr>
        <w:t>פלוני</w:t>
      </w:r>
      <w:r w:rsidR="00E82877">
        <w:rPr>
          <w:rFonts w:ascii="Arial" w:hAnsi="Arial" w:hint="cs"/>
          <w:noProof w:val="0"/>
          <w:rtl/>
        </w:rPr>
        <w:t xml:space="preserve"> </w:t>
      </w:r>
      <w:r w:rsidR="00E82877">
        <w:rPr>
          <w:rFonts w:ascii="Arial" w:hAnsi="Arial" w:hint="cs"/>
          <w:noProof w:val="0"/>
          <w:rtl/>
        </w:rPr>
        <w:lastRenderedPageBreak/>
        <w:t xml:space="preserve">ואשר אינה צד להליך. </w:t>
      </w:r>
      <w:r w:rsidR="009A24E4">
        <w:rPr>
          <w:rFonts w:ascii="Arial" w:hAnsi="Arial" w:hint="cs"/>
          <w:noProof w:val="0"/>
          <w:rtl/>
        </w:rPr>
        <w:t xml:space="preserve">לטענתו, הבוררים שמונו בהסכם אינם צד להליך ויש למחוק את התביעה נגדם שכן גם טענה בדבר פסילת הבוררים צריכה להתנהל בין </w:t>
      </w:r>
      <w:r w:rsidR="000F7C34">
        <w:rPr>
          <w:rFonts w:ascii="Arial" w:hAnsi="Arial" w:hint="cs"/>
          <w:noProof w:val="0"/>
          <w:rtl/>
        </w:rPr>
        <w:t>פלוני</w:t>
      </w:r>
      <w:r w:rsidR="009A24E4">
        <w:rPr>
          <w:rFonts w:ascii="Arial" w:hAnsi="Arial" w:hint="cs"/>
          <w:noProof w:val="0"/>
          <w:rtl/>
        </w:rPr>
        <w:t xml:space="preserve"> ו</w:t>
      </w:r>
      <w:r w:rsidR="000F7C34">
        <w:rPr>
          <w:rFonts w:ascii="Arial" w:hAnsi="Arial" w:hint="cs"/>
          <w:noProof w:val="0"/>
          <w:rtl/>
        </w:rPr>
        <w:t>אלמונית</w:t>
      </w:r>
      <w:r w:rsidR="009A24E4">
        <w:rPr>
          <w:rFonts w:ascii="Arial" w:hAnsi="Arial" w:hint="cs"/>
          <w:noProof w:val="0"/>
          <w:rtl/>
        </w:rPr>
        <w:t xml:space="preserve"> ולא במעורבות הבוררים. </w:t>
      </w:r>
    </w:p>
    <w:p w:rsidR="00D30A65" w:rsidRDefault="00D30A65" w:rsidP="00D30A65">
      <w:pPr>
        <w:pStyle w:val="ad"/>
        <w:spacing w:after="120" w:line="360" w:lineRule="auto"/>
        <w:ind w:left="567"/>
        <w:contextualSpacing w:val="0"/>
        <w:jc w:val="both"/>
        <w:rPr>
          <w:rFonts w:ascii="Arial" w:hAnsi="Arial"/>
          <w:noProof w:val="0"/>
          <w:rtl/>
        </w:rPr>
      </w:pPr>
      <w:r>
        <w:rPr>
          <w:rFonts w:ascii="Arial" w:hAnsi="Arial" w:hint="cs"/>
          <w:noProof w:val="0"/>
          <w:rtl/>
        </w:rPr>
        <w:t xml:space="preserve">עוד </w:t>
      </w:r>
      <w:r w:rsidR="009A24E4">
        <w:rPr>
          <w:rFonts w:ascii="Arial" w:hAnsi="Arial" w:hint="cs"/>
          <w:noProof w:val="0"/>
          <w:rtl/>
        </w:rPr>
        <w:t xml:space="preserve">נטען, כי לא נותרו מחלוקות הנוגעות לחיי הנישואין ורק השאלות העולות מעולם דיני העבודה עומדות לבירור ועל רובן לא ניתן להתנות. </w:t>
      </w:r>
    </w:p>
    <w:p w:rsidR="00860266" w:rsidRDefault="009A24E4" w:rsidP="00D30A65">
      <w:pPr>
        <w:pStyle w:val="ad"/>
        <w:spacing w:after="120" w:line="360" w:lineRule="auto"/>
        <w:ind w:left="567"/>
        <w:contextualSpacing w:val="0"/>
        <w:jc w:val="both"/>
        <w:rPr>
          <w:rFonts w:ascii="Arial" w:hAnsi="Arial"/>
          <w:noProof w:val="0"/>
        </w:rPr>
      </w:pPr>
      <w:r>
        <w:rPr>
          <w:rFonts w:ascii="Arial" w:hAnsi="Arial" w:hint="cs"/>
          <w:noProof w:val="0"/>
          <w:rtl/>
        </w:rPr>
        <w:t xml:space="preserve">לבסוף נטען, כי יתכן שהמטרה </w:t>
      </w:r>
      <w:r w:rsidR="00D30A65">
        <w:rPr>
          <w:rFonts w:ascii="Arial" w:hAnsi="Arial" w:hint="cs"/>
          <w:noProof w:val="0"/>
          <w:rtl/>
        </w:rPr>
        <w:t xml:space="preserve">בהגשת ההליך הנוכחי </w:t>
      </w:r>
      <w:r>
        <w:rPr>
          <w:rFonts w:ascii="Arial" w:hAnsi="Arial" w:hint="cs"/>
          <w:noProof w:val="0"/>
          <w:rtl/>
        </w:rPr>
        <w:t>היא לעקוף את בירור המחלוקות בענייני דיני עבודה שלהם סמכות שיפוט י</w:t>
      </w:r>
      <w:r w:rsidR="00D30A65">
        <w:rPr>
          <w:rFonts w:ascii="Arial" w:hAnsi="Arial" w:hint="cs"/>
          <w:noProof w:val="0"/>
          <w:rtl/>
        </w:rPr>
        <w:t>י</w:t>
      </w:r>
      <w:r>
        <w:rPr>
          <w:rFonts w:ascii="Arial" w:hAnsi="Arial" w:hint="cs"/>
          <w:noProof w:val="0"/>
          <w:rtl/>
        </w:rPr>
        <w:t xml:space="preserve">חודית. </w:t>
      </w:r>
    </w:p>
    <w:p w:rsidR="00D30A65" w:rsidRDefault="009A24E4" w:rsidP="00E52CAD">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בתגובה טען </w:t>
      </w:r>
      <w:r w:rsidR="000F7C34">
        <w:rPr>
          <w:rFonts w:ascii="Arial" w:hAnsi="Arial" w:hint="cs"/>
          <w:noProof w:val="0"/>
          <w:rtl/>
        </w:rPr>
        <w:t>פלוני</w:t>
      </w:r>
      <w:r>
        <w:rPr>
          <w:rFonts w:ascii="Arial" w:hAnsi="Arial" w:hint="cs"/>
          <w:noProof w:val="0"/>
          <w:rtl/>
        </w:rPr>
        <w:t xml:space="preserve">, כי מדובר בבקשה נעדרת נגיעה אישית למינוי בורר בענין הפרת ההסכם. </w:t>
      </w:r>
    </w:p>
    <w:p w:rsidR="009A24E4" w:rsidRDefault="009A24E4" w:rsidP="000F7C34">
      <w:pPr>
        <w:pStyle w:val="ad"/>
        <w:spacing w:after="120" w:line="360" w:lineRule="auto"/>
        <w:ind w:left="567"/>
        <w:contextualSpacing w:val="0"/>
        <w:jc w:val="both"/>
        <w:rPr>
          <w:rFonts w:ascii="Arial" w:hAnsi="Arial"/>
          <w:noProof w:val="0"/>
        </w:rPr>
      </w:pPr>
      <w:r>
        <w:rPr>
          <w:rFonts w:ascii="Arial" w:hAnsi="Arial" w:hint="cs"/>
          <w:noProof w:val="0"/>
          <w:rtl/>
        </w:rPr>
        <w:t xml:space="preserve">לטענת </w:t>
      </w:r>
      <w:r w:rsidR="000F7C34">
        <w:rPr>
          <w:rFonts w:ascii="Arial" w:hAnsi="Arial" w:hint="cs"/>
          <w:noProof w:val="0"/>
          <w:rtl/>
        </w:rPr>
        <w:t>פלוני</w:t>
      </w:r>
      <w:r>
        <w:rPr>
          <w:rFonts w:ascii="Arial" w:hAnsi="Arial" w:hint="cs"/>
          <w:noProof w:val="0"/>
          <w:rtl/>
        </w:rPr>
        <w:t xml:space="preserve">, בקשת הנתבע 2 מהווה ניסיון להרחיקו מהמחלוקת נשוא הבקשה והאופן בו נוסחה הבקשה עלולה ליצור תחושה של העדר זיקה למחלוקת בין </w:t>
      </w:r>
      <w:r w:rsidR="000F7C34">
        <w:rPr>
          <w:rFonts w:ascii="Arial" w:hAnsi="Arial" w:hint="cs"/>
          <w:noProof w:val="0"/>
          <w:rtl/>
        </w:rPr>
        <w:t>פלוני</w:t>
      </w:r>
      <w:r>
        <w:rPr>
          <w:rFonts w:ascii="Arial" w:hAnsi="Arial" w:hint="cs"/>
          <w:noProof w:val="0"/>
          <w:rtl/>
        </w:rPr>
        <w:t xml:space="preserve"> ו</w:t>
      </w:r>
      <w:r w:rsidR="000F7C34">
        <w:rPr>
          <w:rFonts w:ascii="Arial" w:hAnsi="Arial" w:hint="cs"/>
          <w:noProof w:val="0"/>
          <w:rtl/>
        </w:rPr>
        <w:t>אלמונית</w:t>
      </w:r>
      <w:r>
        <w:rPr>
          <w:rFonts w:ascii="Arial" w:hAnsi="Arial" w:hint="cs"/>
          <w:noProof w:val="0"/>
          <w:rtl/>
        </w:rPr>
        <w:t xml:space="preserve">. הוסבר, כי הנתבע 2 היה ממנסחי ההסכם, היה בעל מניות בחברת </w:t>
      </w:r>
      <w:r w:rsidR="000F7C34">
        <w:rPr>
          <w:rFonts w:ascii="Arial" w:hAnsi="Arial" w:hint="cs"/>
          <w:noProof w:val="0"/>
          <w:rtl/>
        </w:rPr>
        <w:t>-----</w:t>
      </w:r>
      <w:r w:rsidR="00E52CAD">
        <w:rPr>
          <w:rFonts w:ascii="Arial" w:hAnsi="Arial" w:hint="cs"/>
          <w:noProof w:val="0"/>
          <w:rtl/>
        </w:rPr>
        <w:t xml:space="preserve"> בע"מ</w:t>
      </w:r>
      <w:r w:rsidR="00F86D03">
        <w:rPr>
          <w:rFonts w:ascii="Arial" w:hAnsi="Arial" w:hint="cs"/>
          <w:noProof w:val="0"/>
          <w:rtl/>
        </w:rPr>
        <w:t xml:space="preserve"> </w:t>
      </w:r>
      <w:r>
        <w:rPr>
          <w:rFonts w:ascii="Arial" w:hAnsi="Arial" w:hint="cs"/>
          <w:noProof w:val="0"/>
          <w:rtl/>
        </w:rPr>
        <w:t>ובעקיפין גם בחבר</w:t>
      </w:r>
      <w:r w:rsidR="00E52CAD">
        <w:rPr>
          <w:rFonts w:ascii="Arial" w:hAnsi="Arial" w:hint="cs"/>
          <w:noProof w:val="0"/>
          <w:rtl/>
        </w:rPr>
        <w:t xml:space="preserve">ה </w:t>
      </w:r>
      <w:r w:rsidR="00F86D03">
        <w:rPr>
          <w:rFonts w:ascii="Arial" w:hAnsi="Arial" w:hint="cs"/>
          <w:noProof w:val="0"/>
          <w:rtl/>
        </w:rPr>
        <w:t>וסוכם בהסכם על העברת מניותיו. משכך, ככל ש</w:t>
      </w:r>
      <w:r w:rsidR="000F7C34">
        <w:rPr>
          <w:rFonts w:ascii="Arial" w:hAnsi="Arial" w:hint="cs"/>
          <w:noProof w:val="0"/>
          <w:rtl/>
        </w:rPr>
        <w:t>אלמונית</w:t>
      </w:r>
      <w:r w:rsidR="00F86D03">
        <w:rPr>
          <w:rFonts w:ascii="Arial" w:hAnsi="Arial" w:hint="cs"/>
          <w:noProof w:val="0"/>
          <w:rtl/>
        </w:rPr>
        <w:t xml:space="preserve"> מערערת על הסכמות מסחריות שנקבעו בהסכם, הרי שהנתבע 2 הופך לנתבע פוטנציאלי בתביעה שעתיד </w:t>
      </w:r>
      <w:r w:rsidR="000F7C34">
        <w:rPr>
          <w:rFonts w:ascii="Arial" w:hAnsi="Arial" w:hint="cs"/>
          <w:noProof w:val="0"/>
          <w:rtl/>
        </w:rPr>
        <w:t>פלוני</w:t>
      </w:r>
      <w:r w:rsidR="00F86D03">
        <w:rPr>
          <w:rFonts w:ascii="Arial" w:hAnsi="Arial" w:hint="cs"/>
          <w:noProof w:val="0"/>
          <w:rtl/>
        </w:rPr>
        <w:t xml:space="preserve"> להגיש במסגרת הבוררות. </w:t>
      </w:r>
    </w:p>
    <w:p w:rsidR="00F86D03" w:rsidRDefault="000F7C34" w:rsidP="00F86D03">
      <w:pPr>
        <w:pStyle w:val="ad"/>
        <w:spacing w:after="120" w:line="360" w:lineRule="auto"/>
        <w:ind w:left="567"/>
        <w:contextualSpacing w:val="0"/>
        <w:jc w:val="both"/>
        <w:rPr>
          <w:rFonts w:ascii="Arial" w:hAnsi="Arial"/>
          <w:noProof w:val="0"/>
          <w:rtl/>
        </w:rPr>
      </w:pPr>
      <w:r>
        <w:rPr>
          <w:rFonts w:ascii="Arial" w:hAnsi="Arial" w:hint="cs"/>
          <w:noProof w:val="0"/>
          <w:rtl/>
        </w:rPr>
        <w:t>פלוני</w:t>
      </w:r>
      <w:r w:rsidR="00F86D03">
        <w:rPr>
          <w:rFonts w:ascii="Arial" w:hAnsi="Arial" w:hint="cs"/>
          <w:noProof w:val="0"/>
          <w:rtl/>
        </w:rPr>
        <w:t xml:space="preserve"> הוסיף וטען, כי על אף קיומו של מנגנון חוזי ברור ומפורש בהסכם, </w:t>
      </w:r>
      <w:r>
        <w:rPr>
          <w:rFonts w:ascii="Arial" w:hAnsi="Arial" w:hint="cs"/>
          <w:noProof w:val="0"/>
          <w:rtl/>
        </w:rPr>
        <w:t>אלמונית</w:t>
      </w:r>
      <w:r w:rsidR="00F86D03">
        <w:rPr>
          <w:rFonts w:ascii="Arial" w:hAnsi="Arial" w:hint="cs"/>
          <w:noProof w:val="0"/>
          <w:rtl/>
        </w:rPr>
        <w:t xml:space="preserve"> בחרה להתעלם מההסכמות הכלכליות שסוכמו בין הצדדים ובכך הפרה את הסכם הגירושין וטענות אלה דינן להתברר בהליך בוררות. </w:t>
      </w:r>
    </w:p>
    <w:p w:rsidR="00F86D03" w:rsidRDefault="000F7C34" w:rsidP="00E52CAD">
      <w:pPr>
        <w:pStyle w:val="ad"/>
        <w:spacing w:after="120" w:line="360" w:lineRule="auto"/>
        <w:ind w:left="567"/>
        <w:contextualSpacing w:val="0"/>
        <w:jc w:val="both"/>
        <w:rPr>
          <w:rFonts w:ascii="Arial" w:hAnsi="Arial"/>
          <w:noProof w:val="0"/>
          <w:rtl/>
        </w:rPr>
      </w:pPr>
      <w:r>
        <w:rPr>
          <w:rFonts w:ascii="Arial" w:hAnsi="Arial" w:hint="cs"/>
          <w:noProof w:val="0"/>
          <w:rtl/>
        </w:rPr>
        <w:t>פלוני</w:t>
      </w:r>
      <w:r w:rsidR="00F86D03">
        <w:rPr>
          <w:rFonts w:ascii="Arial" w:hAnsi="Arial" w:hint="cs"/>
          <w:noProof w:val="0"/>
          <w:rtl/>
        </w:rPr>
        <w:t xml:space="preserve"> הדגיש, כי המחלוקת מושא הבקשה למינוי בורר היא במישור היחסים בין </w:t>
      </w:r>
      <w:r>
        <w:rPr>
          <w:rFonts w:ascii="Arial" w:hAnsi="Arial" w:hint="cs"/>
          <w:noProof w:val="0"/>
          <w:rtl/>
        </w:rPr>
        <w:t>פלוני</w:t>
      </w:r>
      <w:r w:rsidR="00F86D03">
        <w:rPr>
          <w:rFonts w:ascii="Arial" w:hAnsi="Arial" w:hint="cs"/>
          <w:noProof w:val="0"/>
          <w:rtl/>
        </w:rPr>
        <w:t xml:space="preserve"> ו</w:t>
      </w:r>
      <w:r>
        <w:rPr>
          <w:rFonts w:ascii="Arial" w:hAnsi="Arial" w:hint="cs"/>
          <w:noProof w:val="0"/>
          <w:rtl/>
        </w:rPr>
        <w:t>אלמונית</w:t>
      </w:r>
      <w:r w:rsidR="00F86D03">
        <w:rPr>
          <w:rFonts w:ascii="Arial" w:hAnsi="Arial" w:hint="cs"/>
          <w:noProof w:val="0"/>
          <w:rtl/>
        </w:rPr>
        <w:t xml:space="preserve"> באופן ישיר נוכח הפרת ההסכם ואילו </w:t>
      </w:r>
      <w:r w:rsidR="00E52CAD">
        <w:rPr>
          <w:rFonts w:ascii="Arial" w:hAnsi="Arial" w:hint="cs"/>
          <w:noProof w:val="0"/>
          <w:rtl/>
        </w:rPr>
        <w:t>החברה</w:t>
      </w:r>
      <w:r w:rsidR="00F86D03">
        <w:rPr>
          <w:rFonts w:ascii="Arial" w:hAnsi="Arial" w:hint="cs"/>
          <w:noProof w:val="0"/>
          <w:rtl/>
        </w:rPr>
        <w:t xml:space="preserve">, אשר היתה מעסיקתה של </w:t>
      </w:r>
      <w:r>
        <w:rPr>
          <w:rFonts w:ascii="Arial" w:hAnsi="Arial" w:hint="cs"/>
          <w:noProof w:val="0"/>
          <w:rtl/>
        </w:rPr>
        <w:t>אלמונית</w:t>
      </w:r>
      <w:r w:rsidR="00F86D03">
        <w:rPr>
          <w:rFonts w:ascii="Arial" w:hAnsi="Arial" w:hint="cs"/>
          <w:noProof w:val="0"/>
          <w:rtl/>
        </w:rPr>
        <w:t xml:space="preserve">, כפופה לדיני עבודה ואינה צד להסכם או לסכסוך נשוא הבקשה למינוי בורר. </w:t>
      </w:r>
    </w:p>
    <w:p w:rsidR="00F86D03" w:rsidRDefault="00F86D03" w:rsidP="00E52CAD">
      <w:pPr>
        <w:pStyle w:val="ad"/>
        <w:spacing w:after="120" w:line="360" w:lineRule="auto"/>
        <w:ind w:left="567"/>
        <w:contextualSpacing w:val="0"/>
        <w:jc w:val="both"/>
        <w:rPr>
          <w:rFonts w:ascii="Arial" w:hAnsi="Arial"/>
          <w:noProof w:val="0"/>
          <w:rtl/>
        </w:rPr>
      </w:pPr>
      <w:r>
        <w:rPr>
          <w:rFonts w:ascii="Arial" w:hAnsi="Arial" w:hint="cs"/>
          <w:noProof w:val="0"/>
          <w:rtl/>
        </w:rPr>
        <w:t xml:space="preserve">עוד נטען, כי צירוף הבוררים כצד להליך הוא למען הסדר הטוב וכי מדובר בפרקטיקה נוהגת ומקובלת </w:t>
      </w:r>
      <w:r w:rsidR="00E52CAD">
        <w:rPr>
          <w:rFonts w:ascii="Arial" w:hAnsi="Arial" w:hint="cs"/>
          <w:noProof w:val="0"/>
          <w:rtl/>
        </w:rPr>
        <w:t>-</w:t>
      </w:r>
      <w:r>
        <w:rPr>
          <w:rFonts w:ascii="Arial" w:hAnsi="Arial" w:hint="cs"/>
          <w:noProof w:val="0"/>
          <w:rtl/>
        </w:rPr>
        <w:t xml:space="preserve"> לצרף </w:t>
      </w:r>
      <w:r w:rsidR="00E52CAD">
        <w:rPr>
          <w:rFonts w:ascii="Arial" w:hAnsi="Arial" w:hint="cs"/>
          <w:noProof w:val="0"/>
          <w:rtl/>
        </w:rPr>
        <w:t>א</w:t>
      </w:r>
      <w:r>
        <w:rPr>
          <w:rFonts w:ascii="Arial" w:hAnsi="Arial" w:hint="cs"/>
          <w:noProof w:val="0"/>
          <w:rtl/>
        </w:rPr>
        <w:t>ת</w:t>
      </w:r>
      <w:r w:rsidR="00E52CAD">
        <w:rPr>
          <w:rFonts w:ascii="Arial" w:hAnsi="Arial" w:hint="cs"/>
          <w:noProof w:val="0"/>
          <w:rtl/>
        </w:rPr>
        <w:t xml:space="preserve"> </w:t>
      </w:r>
      <w:r>
        <w:rPr>
          <w:rFonts w:ascii="Arial" w:hAnsi="Arial" w:hint="cs"/>
          <w:noProof w:val="0"/>
          <w:rtl/>
        </w:rPr>
        <w:t xml:space="preserve">מי שמבוקש להעביר מתפקידו כמשיב במסגרת הבקשה בעניינו. </w:t>
      </w:r>
    </w:p>
    <w:p w:rsidR="00F86D03" w:rsidRDefault="000F7C34" w:rsidP="000F7C34">
      <w:pPr>
        <w:pStyle w:val="ad"/>
        <w:spacing w:after="120" w:line="360" w:lineRule="auto"/>
        <w:ind w:left="567"/>
        <w:contextualSpacing w:val="0"/>
        <w:jc w:val="both"/>
        <w:rPr>
          <w:rFonts w:ascii="Arial" w:hAnsi="Arial"/>
          <w:noProof w:val="0"/>
          <w:rtl/>
        </w:rPr>
      </w:pPr>
      <w:r>
        <w:rPr>
          <w:rFonts w:ascii="Arial" w:hAnsi="Arial" w:hint="cs"/>
          <w:noProof w:val="0"/>
          <w:rtl/>
        </w:rPr>
        <w:t>פלוני</w:t>
      </w:r>
      <w:r w:rsidR="00E93536">
        <w:rPr>
          <w:rFonts w:ascii="Arial" w:hAnsi="Arial" w:hint="cs"/>
          <w:noProof w:val="0"/>
          <w:rtl/>
        </w:rPr>
        <w:t xml:space="preserve"> טען, כי </w:t>
      </w:r>
      <w:r w:rsidR="00E52CAD">
        <w:rPr>
          <w:rFonts w:ascii="Arial" w:hAnsi="Arial" w:hint="cs"/>
          <w:noProof w:val="0"/>
          <w:rtl/>
        </w:rPr>
        <w:t>החברה</w:t>
      </w:r>
      <w:r w:rsidR="00E93536">
        <w:rPr>
          <w:rFonts w:ascii="Arial" w:hAnsi="Arial" w:hint="cs"/>
          <w:noProof w:val="0"/>
          <w:rtl/>
        </w:rPr>
        <w:t xml:space="preserve"> אינה צד להסכם ולהליך הבוררות אולם הוא ו</w:t>
      </w:r>
      <w:r>
        <w:rPr>
          <w:rFonts w:ascii="Arial" w:hAnsi="Arial" w:hint="cs"/>
          <w:noProof w:val="0"/>
          <w:rtl/>
        </w:rPr>
        <w:t>אלמונית</w:t>
      </w:r>
      <w:r w:rsidR="00E93536">
        <w:rPr>
          <w:rFonts w:ascii="Arial" w:hAnsi="Arial" w:hint="cs"/>
          <w:noProof w:val="0"/>
          <w:rtl/>
        </w:rPr>
        <w:t xml:space="preserve"> בחרו להסדיר במסגרת הסכם הגירושין ה</w:t>
      </w:r>
      <w:r w:rsidR="00992DCF">
        <w:rPr>
          <w:rFonts w:ascii="Arial" w:hAnsi="Arial" w:hint="cs"/>
          <w:noProof w:val="0"/>
          <w:rtl/>
        </w:rPr>
        <w:t>יב</w:t>
      </w:r>
      <w:r w:rsidR="00E93536">
        <w:rPr>
          <w:rFonts w:ascii="Arial" w:hAnsi="Arial" w:hint="cs"/>
          <w:noProof w:val="0"/>
          <w:rtl/>
        </w:rPr>
        <w:t xml:space="preserve">טים שונים בקש עם יחסיהם ובכלל כך היבטים הקשורים בהעסקתה של </w:t>
      </w:r>
      <w:r>
        <w:rPr>
          <w:rFonts w:ascii="Arial" w:hAnsi="Arial" w:hint="cs"/>
          <w:noProof w:val="0"/>
          <w:rtl/>
        </w:rPr>
        <w:t>אלמונית</w:t>
      </w:r>
      <w:r w:rsidR="00E93536">
        <w:rPr>
          <w:rFonts w:ascii="Arial" w:hAnsi="Arial" w:hint="cs"/>
          <w:noProof w:val="0"/>
          <w:rtl/>
        </w:rPr>
        <w:t xml:space="preserve"> בחבר</w:t>
      </w:r>
      <w:r w:rsidR="00E52CAD">
        <w:rPr>
          <w:rFonts w:ascii="Arial" w:hAnsi="Arial" w:hint="cs"/>
          <w:noProof w:val="0"/>
          <w:rtl/>
        </w:rPr>
        <w:t>ה</w:t>
      </w:r>
      <w:r w:rsidR="00E93536">
        <w:rPr>
          <w:rFonts w:ascii="Arial" w:hAnsi="Arial" w:hint="cs"/>
          <w:noProof w:val="0"/>
          <w:rtl/>
        </w:rPr>
        <w:t xml:space="preserve">, אשר בבעלות </w:t>
      </w:r>
      <w:r w:rsidR="00E52CAD">
        <w:rPr>
          <w:rFonts w:ascii="Arial" w:hAnsi="Arial" w:hint="cs"/>
          <w:noProof w:val="0"/>
          <w:rtl/>
        </w:rPr>
        <w:t xml:space="preserve">חברה אחרת - </w:t>
      </w:r>
      <w:r>
        <w:rPr>
          <w:rFonts w:ascii="Arial" w:hAnsi="Arial" w:hint="cs"/>
          <w:noProof w:val="0"/>
          <w:rtl/>
        </w:rPr>
        <w:t>-----</w:t>
      </w:r>
      <w:r w:rsidR="00E93536">
        <w:rPr>
          <w:rFonts w:ascii="Arial" w:hAnsi="Arial" w:hint="cs"/>
          <w:noProof w:val="0"/>
          <w:rtl/>
        </w:rPr>
        <w:t xml:space="preserve"> </w:t>
      </w:r>
      <w:r w:rsidR="00E52CAD">
        <w:rPr>
          <w:rFonts w:ascii="Arial" w:hAnsi="Arial" w:hint="cs"/>
          <w:noProof w:val="0"/>
          <w:rtl/>
        </w:rPr>
        <w:t xml:space="preserve">בע"מ </w:t>
      </w:r>
      <w:r w:rsidR="00E93536">
        <w:rPr>
          <w:rFonts w:ascii="Arial" w:hAnsi="Arial" w:hint="cs"/>
          <w:noProof w:val="0"/>
          <w:rtl/>
        </w:rPr>
        <w:t xml:space="preserve">המצויה בבעלותו המלאה של </w:t>
      </w:r>
      <w:r>
        <w:rPr>
          <w:rFonts w:ascii="Arial" w:hAnsi="Arial" w:hint="cs"/>
          <w:noProof w:val="0"/>
          <w:rtl/>
        </w:rPr>
        <w:t>פלוני</w:t>
      </w:r>
      <w:r w:rsidR="00E93536">
        <w:rPr>
          <w:rFonts w:ascii="Arial" w:hAnsi="Arial" w:hint="cs"/>
          <w:noProof w:val="0"/>
          <w:rtl/>
        </w:rPr>
        <w:t>. משכך, קמה ל</w:t>
      </w:r>
      <w:r>
        <w:rPr>
          <w:rFonts w:ascii="Arial" w:hAnsi="Arial" w:hint="cs"/>
          <w:noProof w:val="0"/>
          <w:rtl/>
        </w:rPr>
        <w:t>פלוני</w:t>
      </w:r>
      <w:r w:rsidR="00E93536">
        <w:rPr>
          <w:rFonts w:ascii="Arial" w:hAnsi="Arial" w:hint="cs"/>
          <w:noProof w:val="0"/>
          <w:rtl/>
        </w:rPr>
        <w:t xml:space="preserve"> הזכות לנהל הליך בוררות בהתאם להוראות ההסכם. </w:t>
      </w:r>
    </w:p>
    <w:p w:rsidR="00E93536" w:rsidRDefault="00E93536" w:rsidP="00992DCF">
      <w:pPr>
        <w:pStyle w:val="ad"/>
        <w:spacing w:after="120" w:line="360" w:lineRule="auto"/>
        <w:ind w:left="567"/>
        <w:contextualSpacing w:val="0"/>
        <w:jc w:val="both"/>
        <w:rPr>
          <w:rFonts w:ascii="Arial" w:hAnsi="Arial"/>
          <w:noProof w:val="0"/>
          <w:rtl/>
        </w:rPr>
      </w:pPr>
      <w:r>
        <w:rPr>
          <w:rFonts w:ascii="Arial" w:hAnsi="Arial" w:hint="cs"/>
          <w:noProof w:val="0"/>
          <w:rtl/>
        </w:rPr>
        <w:t xml:space="preserve">ההסכמות המסחריות הן חלק מהותי מההסכם וטיב המחלוקת הוסדר בהסכם באופן המאפשר את בירור הטענות שבפי </w:t>
      </w:r>
      <w:r w:rsidR="000F7C34">
        <w:rPr>
          <w:rFonts w:ascii="Arial" w:hAnsi="Arial" w:hint="cs"/>
          <w:noProof w:val="0"/>
          <w:rtl/>
        </w:rPr>
        <w:t>אלמונית</w:t>
      </w:r>
      <w:r>
        <w:rPr>
          <w:rFonts w:ascii="Arial" w:hAnsi="Arial" w:hint="cs"/>
          <w:noProof w:val="0"/>
          <w:rtl/>
        </w:rPr>
        <w:t xml:space="preserve"> תחת הוראות ההסכם ובאופן שקבוע בו </w:t>
      </w:r>
      <w:r w:rsidR="00992DCF">
        <w:rPr>
          <w:rFonts w:ascii="Arial" w:hAnsi="Arial" w:hint="cs"/>
          <w:noProof w:val="0"/>
          <w:rtl/>
        </w:rPr>
        <w:t>-</w:t>
      </w:r>
      <w:r>
        <w:rPr>
          <w:rFonts w:ascii="Arial" w:hAnsi="Arial" w:hint="cs"/>
          <w:noProof w:val="0"/>
          <w:rtl/>
        </w:rPr>
        <w:t xml:space="preserve"> בוררות. </w:t>
      </w:r>
    </w:p>
    <w:p w:rsidR="00E74384" w:rsidRDefault="00E74384" w:rsidP="00E93536">
      <w:pPr>
        <w:pStyle w:val="ad"/>
        <w:spacing w:after="120" w:line="360" w:lineRule="auto"/>
        <w:ind w:left="567"/>
        <w:contextualSpacing w:val="0"/>
        <w:jc w:val="both"/>
        <w:rPr>
          <w:rFonts w:ascii="Arial" w:hAnsi="Arial"/>
          <w:noProof w:val="0"/>
          <w:rtl/>
        </w:rPr>
      </w:pPr>
      <w:r>
        <w:rPr>
          <w:rFonts w:ascii="Arial" w:hAnsi="Arial" w:hint="cs"/>
          <w:noProof w:val="0"/>
          <w:rtl/>
        </w:rPr>
        <w:lastRenderedPageBreak/>
        <w:t xml:space="preserve">דרך פעולתו של הנתבע 2, אשר צרף את הסכם הגירושין בהתעלם מהרגישות הטמונה בו מלמדת על חוסר הגינותו ועל מניעיו כפי שמעורב בסכסוך "עד הצוואר". </w:t>
      </w:r>
    </w:p>
    <w:p w:rsidR="00E74384" w:rsidRPr="00DE1E7D" w:rsidRDefault="00E74384" w:rsidP="00E93536">
      <w:pPr>
        <w:pStyle w:val="ad"/>
        <w:spacing w:after="120" w:line="360" w:lineRule="auto"/>
        <w:ind w:left="567"/>
        <w:contextualSpacing w:val="0"/>
        <w:jc w:val="both"/>
        <w:rPr>
          <w:rFonts w:ascii="Arial" w:hAnsi="Arial"/>
          <w:noProof w:val="0"/>
          <w:rtl/>
        </w:rPr>
      </w:pPr>
      <w:r>
        <w:rPr>
          <w:rFonts w:ascii="Arial" w:hAnsi="Arial" w:hint="cs"/>
          <w:noProof w:val="0"/>
          <w:rtl/>
        </w:rPr>
        <w:t>ניהול הליך הבוררות מהווה זכות כללית המוקנית ל</w:t>
      </w:r>
      <w:r w:rsidR="000F7C34">
        <w:rPr>
          <w:rFonts w:ascii="Arial" w:hAnsi="Arial" w:hint="cs"/>
          <w:noProof w:val="0"/>
          <w:rtl/>
        </w:rPr>
        <w:t>פלוני</w:t>
      </w:r>
      <w:r>
        <w:rPr>
          <w:rFonts w:ascii="Arial" w:hAnsi="Arial" w:hint="cs"/>
          <w:noProof w:val="0"/>
          <w:rtl/>
        </w:rPr>
        <w:t xml:space="preserve"> כחלק מזכות הגישה לערכאות. </w:t>
      </w:r>
    </w:p>
    <w:p w:rsidR="00E52CAD" w:rsidRDefault="00E52CAD" w:rsidP="00E52CAD">
      <w:pPr>
        <w:pStyle w:val="ad"/>
        <w:numPr>
          <w:ilvl w:val="0"/>
          <w:numId w:val="2"/>
        </w:numPr>
        <w:spacing w:after="120" w:line="360" w:lineRule="auto"/>
        <w:ind w:left="567" w:hanging="567"/>
        <w:contextualSpacing w:val="0"/>
        <w:jc w:val="both"/>
        <w:rPr>
          <w:rFonts w:ascii="Arial" w:hAnsi="Arial"/>
          <w:b/>
          <w:bCs/>
          <w:noProof w:val="0"/>
          <w:u w:val="single"/>
        </w:rPr>
      </w:pPr>
      <w:r w:rsidRPr="00860266">
        <w:rPr>
          <w:rFonts w:ascii="Arial" w:hAnsi="Arial" w:hint="cs"/>
          <w:b/>
          <w:bCs/>
          <w:noProof w:val="0"/>
          <w:u w:val="single"/>
          <w:rtl/>
        </w:rPr>
        <w:t xml:space="preserve">בקשת </w:t>
      </w:r>
      <w:r>
        <w:rPr>
          <w:rFonts w:ascii="Arial" w:hAnsi="Arial" w:hint="cs"/>
          <w:b/>
          <w:bCs/>
          <w:noProof w:val="0"/>
          <w:u w:val="single"/>
          <w:rtl/>
        </w:rPr>
        <w:t xml:space="preserve">הנתבעת 1, </w:t>
      </w:r>
      <w:r w:rsidR="000F7C34">
        <w:rPr>
          <w:rFonts w:ascii="Arial" w:hAnsi="Arial" w:hint="cs"/>
          <w:b/>
          <w:bCs/>
          <w:noProof w:val="0"/>
          <w:u w:val="single"/>
          <w:rtl/>
        </w:rPr>
        <w:t>אלמונית</w:t>
      </w:r>
      <w:r>
        <w:rPr>
          <w:rFonts w:ascii="Arial" w:hAnsi="Arial" w:hint="cs"/>
          <w:b/>
          <w:bCs/>
          <w:noProof w:val="0"/>
          <w:u w:val="single"/>
          <w:rtl/>
        </w:rPr>
        <w:t xml:space="preserve">, </w:t>
      </w:r>
      <w:r w:rsidRPr="00860266">
        <w:rPr>
          <w:rFonts w:ascii="Arial" w:hAnsi="Arial" w:hint="cs"/>
          <w:b/>
          <w:bCs/>
          <w:noProof w:val="0"/>
          <w:u w:val="single"/>
          <w:rtl/>
        </w:rPr>
        <w:t xml:space="preserve">לסילוק התביעה על הסף </w:t>
      </w:r>
    </w:p>
    <w:p w:rsidR="00597AD3" w:rsidRDefault="00992DCF" w:rsidP="00597AD3">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לטענת </w:t>
      </w:r>
      <w:r w:rsidR="000F7C34">
        <w:rPr>
          <w:rFonts w:ascii="Arial" w:hAnsi="Arial" w:hint="cs"/>
          <w:noProof w:val="0"/>
          <w:rtl/>
        </w:rPr>
        <w:t>אלמונית</w:t>
      </w:r>
      <w:r>
        <w:rPr>
          <w:rFonts w:ascii="Arial" w:hAnsi="Arial" w:hint="cs"/>
          <w:noProof w:val="0"/>
          <w:rtl/>
        </w:rPr>
        <w:t xml:space="preserve">, </w:t>
      </w:r>
      <w:r w:rsidR="009A47B7" w:rsidRPr="009A47B7">
        <w:rPr>
          <w:rFonts w:ascii="Arial" w:hAnsi="Arial" w:hint="cs"/>
          <w:noProof w:val="0"/>
          <w:rtl/>
        </w:rPr>
        <w:t xml:space="preserve">המחלוקת </w:t>
      </w:r>
      <w:r w:rsidR="009A47B7">
        <w:rPr>
          <w:rFonts w:ascii="Arial" w:hAnsi="Arial" w:hint="cs"/>
          <w:noProof w:val="0"/>
          <w:rtl/>
        </w:rPr>
        <w:t xml:space="preserve">בין הצדדים מצויה בסמכות </w:t>
      </w:r>
      <w:r>
        <w:rPr>
          <w:rFonts w:ascii="Arial" w:hAnsi="Arial" w:hint="cs"/>
          <w:noProof w:val="0"/>
          <w:rtl/>
        </w:rPr>
        <w:t>י</w:t>
      </w:r>
      <w:r w:rsidR="009A47B7">
        <w:rPr>
          <w:rFonts w:ascii="Arial" w:hAnsi="Arial" w:hint="cs"/>
          <w:noProof w:val="0"/>
          <w:rtl/>
        </w:rPr>
        <w:t xml:space="preserve">יחודית של בית הדין לעבודה והיא נובעת ממישור יחסי העבודה בין </w:t>
      </w:r>
      <w:r w:rsidR="000F7C34">
        <w:rPr>
          <w:rFonts w:ascii="Arial" w:hAnsi="Arial" w:hint="cs"/>
          <w:noProof w:val="0"/>
          <w:rtl/>
        </w:rPr>
        <w:t>אלמונית</w:t>
      </w:r>
      <w:r w:rsidR="009A47B7">
        <w:rPr>
          <w:rFonts w:ascii="Arial" w:hAnsi="Arial" w:hint="cs"/>
          <w:noProof w:val="0"/>
          <w:rtl/>
        </w:rPr>
        <w:t xml:space="preserve"> לבין החברה אשר אינה צד להליך זה. </w:t>
      </w:r>
      <w:r w:rsidR="00597AD3">
        <w:rPr>
          <w:rFonts w:ascii="Arial" w:hAnsi="Arial" w:hint="cs"/>
          <w:noProof w:val="0"/>
          <w:rtl/>
        </w:rPr>
        <w:t>התביעה שעתידה להיות מוגשת לבית הדין לעבודה אינה נוגעת להוראות הסכם הגירושין שמומש ובא אל מיצויו לפני כעשור והעילה התיישנה.</w:t>
      </w:r>
    </w:p>
    <w:p w:rsidR="00597AD3" w:rsidRDefault="00597AD3" w:rsidP="00992DCF">
      <w:pPr>
        <w:pStyle w:val="ad"/>
        <w:spacing w:after="120" w:line="360" w:lineRule="auto"/>
        <w:ind w:left="567"/>
        <w:contextualSpacing w:val="0"/>
        <w:jc w:val="both"/>
        <w:rPr>
          <w:rFonts w:ascii="Arial" w:hAnsi="Arial"/>
          <w:noProof w:val="0"/>
        </w:rPr>
      </w:pPr>
      <w:r>
        <w:rPr>
          <w:rFonts w:ascii="Arial" w:hAnsi="Arial" w:hint="cs"/>
          <w:noProof w:val="0"/>
          <w:rtl/>
        </w:rPr>
        <w:t xml:space="preserve">תכלית הבקשה היא להקשות על </w:t>
      </w:r>
      <w:r w:rsidR="000F7C34">
        <w:rPr>
          <w:rFonts w:ascii="Arial" w:hAnsi="Arial" w:hint="cs"/>
          <w:noProof w:val="0"/>
          <w:rtl/>
        </w:rPr>
        <w:t>אלמונית</w:t>
      </w:r>
      <w:r>
        <w:rPr>
          <w:rFonts w:ascii="Arial" w:hAnsi="Arial" w:hint="cs"/>
          <w:noProof w:val="0"/>
          <w:rtl/>
        </w:rPr>
        <w:t xml:space="preserve">, לגרום לה להוצאות עד שתתייאש בשל העובדה כי היא </w:t>
      </w:r>
      <w:r w:rsidR="00992DCF">
        <w:rPr>
          <w:rFonts w:ascii="Arial" w:hAnsi="Arial" w:hint="cs"/>
          <w:noProof w:val="0"/>
          <w:rtl/>
        </w:rPr>
        <w:t>ה</w:t>
      </w:r>
      <w:r>
        <w:rPr>
          <w:rFonts w:ascii="Arial" w:hAnsi="Arial" w:hint="cs"/>
          <w:noProof w:val="0"/>
          <w:rtl/>
        </w:rPr>
        <w:t xml:space="preserve">עזה להגיש תביעה בשל התעמרות בעבודה, פיצויי פיטורין ותנאים המגיעים לה מכח דיני העבודה. </w:t>
      </w:r>
    </w:p>
    <w:p w:rsidR="00597AD3" w:rsidRDefault="00992DCF" w:rsidP="0001351F">
      <w:pPr>
        <w:pStyle w:val="ad"/>
        <w:spacing w:after="120" w:line="360" w:lineRule="auto"/>
        <w:ind w:left="567"/>
        <w:contextualSpacing w:val="0"/>
        <w:jc w:val="both"/>
        <w:rPr>
          <w:rFonts w:ascii="Arial" w:hAnsi="Arial"/>
          <w:noProof w:val="0"/>
        </w:rPr>
      </w:pPr>
      <w:r>
        <w:rPr>
          <w:rFonts w:ascii="Arial" w:hAnsi="Arial" w:hint="cs"/>
          <w:noProof w:val="0"/>
          <w:rtl/>
        </w:rPr>
        <w:t>כל</w:t>
      </w:r>
      <w:r w:rsidR="00597AD3">
        <w:rPr>
          <w:rFonts w:ascii="Arial" w:hAnsi="Arial" w:hint="cs"/>
          <w:noProof w:val="0"/>
          <w:rtl/>
        </w:rPr>
        <w:t xml:space="preserve"> הנושאים העוסקים בגירושין באו אל סיומם ופתרונן ואין באמת מחלוקות המצריכות התייחסות בית המשפט לענייני משפחה משום שהמחלוקת היחידה שקיימת היא בין </w:t>
      </w:r>
      <w:r w:rsidR="000F7C34">
        <w:rPr>
          <w:rFonts w:ascii="Arial" w:hAnsi="Arial" w:hint="cs"/>
          <w:noProof w:val="0"/>
          <w:rtl/>
        </w:rPr>
        <w:t>פלוני</w:t>
      </w:r>
      <w:r w:rsidR="00597AD3">
        <w:rPr>
          <w:rFonts w:ascii="Arial" w:hAnsi="Arial" w:hint="cs"/>
          <w:noProof w:val="0"/>
          <w:rtl/>
        </w:rPr>
        <w:t xml:space="preserve"> ו</w:t>
      </w:r>
      <w:r w:rsidR="000F7C34">
        <w:rPr>
          <w:rFonts w:ascii="Arial" w:hAnsi="Arial" w:hint="cs"/>
          <w:noProof w:val="0"/>
          <w:rtl/>
        </w:rPr>
        <w:t>אלמונית</w:t>
      </w:r>
      <w:r w:rsidR="00597AD3">
        <w:rPr>
          <w:rFonts w:ascii="Arial" w:hAnsi="Arial" w:hint="cs"/>
          <w:noProof w:val="0"/>
          <w:rtl/>
        </w:rPr>
        <w:t xml:space="preserve"> והחברה שאינה צד להסכם ודי בכך כדי להביא לדחיית הבקשה למינוי בוררים שכן היא אינה כוללת את הצדדים הנכונים והרלבנטיים למחלוקת. </w:t>
      </w:r>
    </w:p>
    <w:p w:rsidR="00992DCF" w:rsidRDefault="000F7C34" w:rsidP="0001351F">
      <w:pPr>
        <w:pStyle w:val="ad"/>
        <w:spacing w:after="120" w:line="360" w:lineRule="auto"/>
        <w:ind w:left="567"/>
        <w:contextualSpacing w:val="0"/>
        <w:jc w:val="both"/>
        <w:rPr>
          <w:rFonts w:ascii="Arial" w:hAnsi="Arial"/>
          <w:noProof w:val="0"/>
          <w:rtl/>
        </w:rPr>
      </w:pPr>
      <w:r>
        <w:rPr>
          <w:rFonts w:ascii="Arial" w:hAnsi="Arial" w:hint="cs"/>
          <w:noProof w:val="0"/>
          <w:rtl/>
        </w:rPr>
        <w:t>אלמונית</w:t>
      </w:r>
      <w:r w:rsidR="004C25C8">
        <w:rPr>
          <w:rFonts w:ascii="Arial" w:hAnsi="Arial" w:hint="cs"/>
          <w:noProof w:val="0"/>
          <w:rtl/>
        </w:rPr>
        <w:t xml:space="preserve"> עמדה על כך ש</w:t>
      </w:r>
      <w:r w:rsidR="00597AD3">
        <w:rPr>
          <w:rFonts w:ascii="Arial" w:hAnsi="Arial" w:hint="cs"/>
          <w:noProof w:val="0"/>
          <w:rtl/>
        </w:rPr>
        <w:t>החברה אינה צד להסכם, הוראות ההסכם אינן חלות עליה וממילא לבית משפט זה אין סמכות.</w:t>
      </w:r>
      <w:r w:rsidR="0001351F">
        <w:rPr>
          <w:rFonts w:ascii="Arial" w:hAnsi="Arial" w:hint="cs"/>
          <w:noProof w:val="0"/>
          <w:rtl/>
        </w:rPr>
        <w:t xml:space="preserve"> </w:t>
      </w:r>
    </w:p>
    <w:p w:rsidR="00597AD3" w:rsidRDefault="004C25C8" w:rsidP="0001351F">
      <w:pPr>
        <w:pStyle w:val="ad"/>
        <w:spacing w:after="120" w:line="360" w:lineRule="auto"/>
        <w:ind w:left="567"/>
        <w:contextualSpacing w:val="0"/>
        <w:jc w:val="both"/>
        <w:rPr>
          <w:rFonts w:ascii="Arial" w:hAnsi="Arial"/>
          <w:noProof w:val="0"/>
        </w:rPr>
      </w:pPr>
      <w:r>
        <w:rPr>
          <w:rFonts w:ascii="Arial" w:hAnsi="Arial" w:hint="cs"/>
          <w:noProof w:val="0"/>
          <w:rtl/>
        </w:rPr>
        <w:t xml:space="preserve">עוד נטען, כי </w:t>
      </w:r>
      <w:r w:rsidR="0001351F">
        <w:rPr>
          <w:rFonts w:ascii="Arial" w:hAnsi="Arial" w:hint="cs"/>
          <w:noProof w:val="0"/>
          <w:rtl/>
        </w:rPr>
        <w:t xml:space="preserve">התחייבותו של </w:t>
      </w:r>
      <w:r w:rsidR="000F7C34">
        <w:rPr>
          <w:rFonts w:ascii="Arial" w:hAnsi="Arial" w:hint="cs"/>
          <w:noProof w:val="0"/>
          <w:rtl/>
        </w:rPr>
        <w:t>פלוני</w:t>
      </w:r>
      <w:r w:rsidR="0001351F">
        <w:rPr>
          <w:rFonts w:ascii="Arial" w:hAnsi="Arial" w:hint="cs"/>
          <w:noProof w:val="0"/>
          <w:rtl/>
        </w:rPr>
        <w:t xml:space="preserve"> היתה כבעלים ודירקטור להעסקה של </w:t>
      </w:r>
      <w:r w:rsidR="000F7C34">
        <w:rPr>
          <w:rFonts w:ascii="Arial" w:hAnsi="Arial" w:hint="cs"/>
          <w:noProof w:val="0"/>
          <w:rtl/>
        </w:rPr>
        <w:t>אלמונית</w:t>
      </w:r>
      <w:r w:rsidR="0001351F">
        <w:rPr>
          <w:rFonts w:ascii="Arial" w:hAnsi="Arial" w:hint="cs"/>
          <w:noProof w:val="0"/>
          <w:rtl/>
        </w:rPr>
        <w:t xml:space="preserve"> בחברה למשך שנה אחת ועל כן תניית הבוררות פגה ואינה בתוקף. משכך, טענה </w:t>
      </w:r>
      <w:r w:rsidR="000F7C34">
        <w:rPr>
          <w:rFonts w:ascii="Arial" w:hAnsi="Arial" w:hint="cs"/>
          <w:noProof w:val="0"/>
          <w:rtl/>
        </w:rPr>
        <w:t>אלמונית</w:t>
      </w:r>
      <w:r w:rsidR="0001351F">
        <w:rPr>
          <w:rFonts w:ascii="Arial" w:hAnsi="Arial" w:hint="cs"/>
          <w:noProof w:val="0"/>
          <w:rtl/>
        </w:rPr>
        <w:t xml:space="preserve">, כי הטענה התיישנה. </w:t>
      </w:r>
    </w:p>
    <w:p w:rsidR="0001351F" w:rsidRDefault="0001351F" w:rsidP="0001351F">
      <w:pPr>
        <w:pStyle w:val="ad"/>
        <w:spacing w:after="120" w:line="360" w:lineRule="auto"/>
        <w:ind w:left="567"/>
        <w:contextualSpacing w:val="0"/>
        <w:jc w:val="both"/>
        <w:rPr>
          <w:rFonts w:ascii="Arial" w:hAnsi="Arial"/>
          <w:noProof w:val="0"/>
        </w:rPr>
      </w:pPr>
      <w:r>
        <w:rPr>
          <w:rFonts w:ascii="Arial" w:hAnsi="Arial" w:hint="cs"/>
          <w:noProof w:val="0"/>
          <w:rtl/>
        </w:rPr>
        <w:t xml:space="preserve">נוסף על הטענות האמורות, נכללו טענות ביחס לבקשה להעברת הבוררים מתפקידם. </w:t>
      </w:r>
    </w:p>
    <w:p w:rsidR="0001351F" w:rsidRDefault="0001351F" w:rsidP="0001351F">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במענה טען </w:t>
      </w:r>
      <w:r w:rsidR="000F7C34">
        <w:rPr>
          <w:rFonts w:ascii="Arial" w:hAnsi="Arial" w:hint="cs"/>
          <w:noProof w:val="0"/>
          <w:rtl/>
        </w:rPr>
        <w:t>פלוני</w:t>
      </w:r>
      <w:r>
        <w:rPr>
          <w:rFonts w:ascii="Arial" w:hAnsi="Arial" w:hint="cs"/>
          <w:noProof w:val="0"/>
          <w:rtl/>
        </w:rPr>
        <w:t>, כי סעד של ס</w:t>
      </w:r>
      <w:r w:rsidR="00780D6C">
        <w:rPr>
          <w:rFonts w:ascii="Arial" w:hAnsi="Arial" w:hint="cs"/>
          <w:noProof w:val="0"/>
          <w:rtl/>
        </w:rPr>
        <w:t xml:space="preserve">ילוק על הסף הוא קיצוני וחריג בהיותו מונע מבעל דין את יומו בבית המשפט וגוזר את דינו של ההליך בטרם נבחנו הטענות. תנאים קיצוניים אלה לא מתקיימים בענייננו. </w:t>
      </w:r>
    </w:p>
    <w:p w:rsidR="00780D6C" w:rsidRDefault="00780D6C" w:rsidP="00780D6C">
      <w:pPr>
        <w:pStyle w:val="ad"/>
        <w:spacing w:after="120" w:line="360" w:lineRule="auto"/>
        <w:ind w:left="567"/>
        <w:contextualSpacing w:val="0"/>
        <w:jc w:val="both"/>
        <w:rPr>
          <w:rFonts w:ascii="Arial" w:hAnsi="Arial"/>
          <w:noProof w:val="0"/>
          <w:rtl/>
        </w:rPr>
      </w:pPr>
      <w:r>
        <w:rPr>
          <w:rFonts w:ascii="Arial" w:hAnsi="Arial" w:hint="cs"/>
          <w:noProof w:val="0"/>
          <w:rtl/>
        </w:rPr>
        <w:t>נטען, כי מנגנון הבוררות נכלל בהסכם ומשעה ש</w:t>
      </w:r>
      <w:r w:rsidR="000F7C34">
        <w:rPr>
          <w:rFonts w:ascii="Arial" w:hAnsi="Arial" w:hint="cs"/>
          <w:noProof w:val="0"/>
          <w:rtl/>
        </w:rPr>
        <w:t>אלמונית</w:t>
      </w:r>
      <w:r>
        <w:rPr>
          <w:rFonts w:ascii="Arial" w:hAnsi="Arial" w:hint="cs"/>
          <w:noProof w:val="0"/>
          <w:rtl/>
        </w:rPr>
        <w:t xml:space="preserve"> הפרה את ההסכם הוא ביקש לקיים הליך בוררות. די בכך כדי לקבל את הבקשה למינוי בורר ולדחות את בקשת הסילוק. </w:t>
      </w:r>
    </w:p>
    <w:p w:rsidR="00780D6C" w:rsidRDefault="00780D6C" w:rsidP="00780D6C">
      <w:pPr>
        <w:pStyle w:val="ad"/>
        <w:spacing w:after="120" w:line="360" w:lineRule="auto"/>
        <w:ind w:left="567"/>
        <w:contextualSpacing w:val="0"/>
        <w:jc w:val="both"/>
        <w:rPr>
          <w:rFonts w:ascii="Arial" w:hAnsi="Arial"/>
          <w:noProof w:val="0"/>
          <w:rtl/>
        </w:rPr>
      </w:pPr>
      <w:r>
        <w:rPr>
          <w:rFonts w:ascii="Arial" w:hAnsi="Arial" w:hint="cs"/>
          <w:noProof w:val="0"/>
          <w:rtl/>
        </w:rPr>
        <w:t xml:space="preserve">נוסף על טענות אלה, נטענו טענות ביחס למועד הגשת התגובה לגופה (בשים לב להגשת בקשה לסילוק על הסף) וכן ביחס לסוגיית העברת הבוררים מתפקידם. </w:t>
      </w:r>
    </w:p>
    <w:p w:rsidR="00780D6C" w:rsidRDefault="00780D6C" w:rsidP="00780D6C">
      <w:pPr>
        <w:pStyle w:val="ad"/>
        <w:numPr>
          <w:ilvl w:val="0"/>
          <w:numId w:val="2"/>
        </w:numPr>
        <w:spacing w:after="120" w:line="360" w:lineRule="auto"/>
        <w:ind w:left="567" w:hanging="567"/>
        <w:contextualSpacing w:val="0"/>
        <w:jc w:val="both"/>
        <w:rPr>
          <w:rFonts w:ascii="Arial" w:hAnsi="Arial"/>
          <w:b/>
          <w:bCs/>
          <w:noProof w:val="0"/>
          <w:u w:val="single"/>
        </w:rPr>
      </w:pPr>
      <w:r>
        <w:rPr>
          <w:rFonts w:ascii="Arial" w:hAnsi="Arial" w:hint="cs"/>
          <w:b/>
          <w:bCs/>
          <w:noProof w:val="0"/>
          <w:u w:val="single"/>
          <w:rtl/>
        </w:rPr>
        <w:t>דיון והכרעה</w:t>
      </w:r>
    </w:p>
    <w:p w:rsidR="00ED3294" w:rsidRDefault="00ED3294" w:rsidP="00ED3294">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lastRenderedPageBreak/>
        <w:t xml:space="preserve">תקנה 41(א) לתקנות סדר הדין האזרחי, תשע"ט-2018 קובעת, כך: </w:t>
      </w:r>
    </w:p>
    <w:p w:rsidR="00780D6C" w:rsidRPr="00780D6C" w:rsidRDefault="00ED3294" w:rsidP="004C25C8">
      <w:pPr>
        <w:pStyle w:val="ad"/>
        <w:spacing w:after="120" w:line="360" w:lineRule="auto"/>
        <w:ind w:left="1134" w:right="567"/>
        <w:contextualSpacing w:val="0"/>
        <w:jc w:val="both"/>
        <w:rPr>
          <w:rFonts w:ascii="Arial" w:hAnsi="Arial"/>
          <w:noProof w:val="0"/>
        </w:rPr>
      </w:pPr>
      <w:r>
        <w:rPr>
          <w:rFonts w:ascii="Arial" w:hAnsi="Arial" w:hint="cs"/>
          <w:b/>
          <w:bCs/>
          <w:noProof w:val="0"/>
          <w:rtl/>
        </w:rPr>
        <w:t xml:space="preserve">"בית המשפט רשאי להורות על מחיקת כתב תביעה בכל עת על יסוד אחד מנימוקים אלה </w:t>
      </w:r>
      <w:r w:rsidR="004C25C8">
        <w:rPr>
          <w:rFonts w:ascii="Arial" w:hAnsi="Arial" w:hint="cs"/>
          <w:b/>
          <w:bCs/>
          <w:noProof w:val="0"/>
          <w:rtl/>
        </w:rPr>
        <w:t>-</w:t>
      </w:r>
      <w:r>
        <w:rPr>
          <w:rFonts w:ascii="Arial" w:hAnsi="Arial" w:hint="cs"/>
          <w:b/>
          <w:bCs/>
          <w:noProof w:val="0"/>
          <w:rtl/>
        </w:rPr>
        <w:t xml:space="preserve"> כתב התביעה אינו מגלה עילת תביעה; מכתב התביעה עולה כי התביעה היא טרדנית או קנטרנית; התובע מתמיד, באופן שאינו מניח את הדעת, להימנע מלקיים הוראה מתקנות אלה או נמנע מלקיים החלטה או הוראה של בית המשפט; כל נימוק אחר שלפיו הוא סבור שראוי ונכון למחוק את התביעה"</w:t>
      </w:r>
    </w:p>
    <w:p w:rsidR="00780D6C" w:rsidRDefault="00ED3294" w:rsidP="00ED3294">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תקנה 42 לתקנות האמורות מאפשרת מחיקת הליך כאשר </w:t>
      </w:r>
      <w:r>
        <w:rPr>
          <w:rFonts w:ascii="Arial" w:hAnsi="Arial" w:hint="cs"/>
          <w:b/>
          <w:bCs/>
          <w:noProof w:val="0"/>
          <w:rtl/>
        </w:rPr>
        <w:t xml:space="preserve">"סבר בית המשפט שבעל דין עשה שימוש לרעה בהליכי משפט" </w:t>
      </w:r>
      <w:r w:rsidRPr="00ED3294">
        <w:rPr>
          <w:rFonts w:ascii="Arial" w:hAnsi="Arial" w:hint="cs"/>
          <w:noProof w:val="0"/>
          <w:rtl/>
        </w:rPr>
        <w:t>ותקנה 43 קובעת, כי</w:t>
      </w:r>
      <w:r>
        <w:rPr>
          <w:rFonts w:ascii="Arial" w:hAnsi="Arial" w:hint="cs"/>
          <w:b/>
          <w:bCs/>
          <w:noProof w:val="0"/>
          <w:rtl/>
        </w:rPr>
        <w:t xml:space="preserve"> "בית המשפט רשאי לדחות תביעה כל העת בשל קיומו של מעשה בית דין, התיישנות או מכל נימוק אחר, שלפיו הוא סבור כי ראוי ונכון לדחות את התביעה</w:t>
      </w:r>
      <w:r w:rsidR="004C25C8">
        <w:rPr>
          <w:rFonts w:ascii="Arial" w:hAnsi="Arial" w:hint="cs"/>
          <w:b/>
          <w:bCs/>
          <w:noProof w:val="0"/>
          <w:rtl/>
        </w:rPr>
        <w:t>"</w:t>
      </w:r>
      <w:r w:rsidRPr="00ED3294">
        <w:rPr>
          <w:rFonts w:ascii="Arial" w:hAnsi="Arial" w:hint="cs"/>
          <w:noProof w:val="0"/>
          <w:rtl/>
        </w:rPr>
        <w:t xml:space="preserve">. </w:t>
      </w:r>
    </w:p>
    <w:p w:rsidR="004C25C8" w:rsidRPr="004C25C8" w:rsidRDefault="004C25C8" w:rsidP="004C25C8">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ההלכה בענין זה ידועה ומבוססת - </w:t>
      </w:r>
      <w:r w:rsidR="007A6136" w:rsidRPr="007A6136">
        <w:rPr>
          <w:rFonts w:ascii="Arial" w:hAnsi="Arial" w:hint="cs"/>
          <w:noProof w:val="0"/>
          <w:rtl/>
        </w:rPr>
        <w:t>"</w:t>
      </w:r>
      <w:r w:rsidR="007A6136" w:rsidRPr="007A6136">
        <w:rPr>
          <w:rFonts w:ascii="Arial" w:hAnsi="Arial" w:hint="cs"/>
          <w:b/>
          <w:bCs/>
          <w:noProof w:val="0"/>
          <w:rtl/>
        </w:rPr>
        <w:t>א</w:t>
      </w:r>
      <w:r w:rsidR="007A6136" w:rsidRPr="007A6136">
        <w:rPr>
          <w:rFonts w:ascii="Arial" w:hAnsi="Arial"/>
          <w:b/>
          <w:bCs/>
          <w:noProof w:val="0"/>
          <w:rtl/>
        </w:rPr>
        <w:t>מצעי סילוק תובענה על הסף, בין אם מדובר במחיקת התובענה ובין אם בדחייתה, מהווה סעד בעל השלכות מרחיקות לכת על זכויות התובע ובראשן זכות גישתו לערכאות</w:t>
      </w:r>
      <w:r>
        <w:rPr>
          <w:rFonts w:ascii="Arial" w:hAnsi="Arial" w:hint="cs"/>
          <w:b/>
          <w:bCs/>
          <w:noProof w:val="0"/>
          <w:rtl/>
        </w:rPr>
        <w:t xml:space="preserve">" </w:t>
      </w:r>
      <w:r>
        <w:rPr>
          <w:rFonts w:ascii="Arial" w:hAnsi="Arial" w:hint="cs"/>
          <w:noProof w:val="0"/>
          <w:rtl/>
        </w:rPr>
        <w:t xml:space="preserve">(כך למשל, </w:t>
      </w:r>
      <w:r w:rsidRPr="00387666">
        <w:rPr>
          <w:rFonts w:ascii="Arial" w:hAnsi="Arial"/>
          <w:noProof w:val="0"/>
          <w:rtl/>
        </w:rPr>
        <w:t>רע</w:t>
      </w:r>
      <w:r>
        <w:rPr>
          <w:rFonts w:ascii="Arial" w:hAnsi="Arial" w:hint="cs"/>
          <w:noProof w:val="0"/>
          <w:rtl/>
        </w:rPr>
        <w:t>"</w:t>
      </w:r>
      <w:r w:rsidRPr="00387666">
        <w:rPr>
          <w:rFonts w:ascii="Arial" w:hAnsi="Arial"/>
          <w:noProof w:val="0"/>
          <w:rtl/>
        </w:rPr>
        <w:t>א 5337/17 </w:t>
      </w:r>
      <w:r w:rsidRPr="00387666">
        <w:rPr>
          <w:rFonts w:ascii="Arial" w:hAnsi="Arial"/>
          <w:b/>
          <w:bCs/>
          <w:noProof w:val="0"/>
          <w:rtl/>
        </w:rPr>
        <w:t xml:space="preserve"> כץ נ' כץ</w:t>
      </w:r>
      <w:r>
        <w:rPr>
          <w:rFonts w:ascii="Arial" w:hAnsi="Arial" w:hint="cs"/>
          <w:noProof w:val="0"/>
          <w:rtl/>
        </w:rPr>
        <w:t xml:space="preserve"> (31.7.2017) </w:t>
      </w:r>
      <w:r w:rsidR="0074078E">
        <w:rPr>
          <w:rFonts w:ascii="Arial" w:hAnsi="Arial" w:hint="cs"/>
          <w:noProof w:val="0"/>
          <w:rtl/>
        </w:rPr>
        <w:t>(</w:t>
      </w:r>
      <w:r w:rsidR="0074078E">
        <w:rPr>
          <w:rFonts w:ascii="Arial" w:hAnsi="Arial" w:hint="cs"/>
          <w:b/>
          <w:bCs/>
          <w:noProof w:val="0"/>
          <w:rtl/>
        </w:rPr>
        <w:t>"ענין כץ"</w:t>
      </w:r>
      <w:r w:rsidR="0074078E">
        <w:rPr>
          <w:rFonts w:ascii="Arial" w:hAnsi="Arial" w:hint="cs"/>
          <w:noProof w:val="0"/>
          <w:rtl/>
        </w:rPr>
        <w:t xml:space="preserve">) </w:t>
      </w:r>
      <w:r>
        <w:rPr>
          <w:rFonts w:ascii="Arial" w:hAnsi="Arial" w:hint="cs"/>
          <w:noProof w:val="0"/>
          <w:rtl/>
        </w:rPr>
        <w:t xml:space="preserve">וראו גם </w:t>
      </w:r>
      <w:hyperlink r:id="rId10" w:history="1">
        <w:r w:rsidRPr="007A6136">
          <w:rPr>
            <w:rFonts w:ascii="Arial" w:hAnsi="Arial"/>
            <w:noProof w:val="0"/>
            <w:rtl/>
          </w:rPr>
          <w:t>ע"א 455/06</w:t>
        </w:r>
      </w:hyperlink>
      <w:r w:rsidRPr="007A6136">
        <w:rPr>
          <w:rFonts w:ascii="Arial" w:hAnsi="Arial"/>
          <w:noProof w:val="0"/>
          <w:rtl/>
        </w:rPr>
        <w:t> </w:t>
      </w:r>
      <w:r w:rsidRPr="00387666">
        <w:rPr>
          <w:rFonts w:ascii="Arial" w:hAnsi="Arial"/>
          <w:b/>
          <w:bCs/>
          <w:noProof w:val="0"/>
          <w:rtl/>
        </w:rPr>
        <w:t>חלקה 21 בגוש 6539 בע"מ נ' עיריית הרצליה</w:t>
      </w:r>
      <w:r w:rsidRPr="007A6136">
        <w:rPr>
          <w:rFonts w:ascii="Arial" w:hAnsi="Arial"/>
          <w:noProof w:val="0"/>
          <w:rtl/>
        </w:rPr>
        <w:t xml:space="preserve"> (11.6.2009)). </w:t>
      </w:r>
    </w:p>
    <w:p w:rsidR="004C25C8" w:rsidRPr="004C25C8" w:rsidRDefault="004C25C8" w:rsidP="004C25C8">
      <w:pPr>
        <w:pStyle w:val="ad"/>
        <w:spacing w:after="120" w:line="360" w:lineRule="auto"/>
        <w:ind w:left="567"/>
        <w:contextualSpacing w:val="0"/>
        <w:jc w:val="both"/>
        <w:rPr>
          <w:rFonts w:ascii="Arial" w:hAnsi="Arial"/>
          <w:noProof w:val="0"/>
        </w:rPr>
      </w:pPr>
      <w:r>
        <w:rPr>
          <w:rFonts w:ascii="Arial" w:hAnsi="Arial" w:hint="cs"/>
          <w:noProof w:val="0"/>
          <w:rtl/>
        </w:rPr>
        <w:t xml:space="preserve">הפסיקה שבה ומדגישה כי סילוק על הסף הוא אמצעי חריג וקיצוני שיש לנקוט בו במשורה למשל כאשר ברור שלא מתקיימת עילה, כאשר הענין הנדון כבר הוכרע או שהוכחת כל הטענות ממילא לא תוביל לסעד המבוקש. </w:t>
      </w:r>
    </w:p>
    <w:p w:rsidR="007A6136" w:rsidRPr="007A6136" w:rsidRDefault="004C25C8" w:rsidP="0074078E">
      <w:pPr>
        <w:pStyle w:val="ad"/>
        <w:numPr>
          <w:ilvl w:val="0"/>
          <w:numId w:val="1"/>
        </w:numPr>
        <w:spacing w:after="120" w:line="360" w:lineRule="auto"/>
        <w:ind w:left="567" w:hanging="567"/>
        <w:contextualSpacing w:val="0"/>
        <w:jc w:val="both"/>
        <w:rPr>
          <w:rFonts w:ascii="Arial" w:hAnsi="Arial"/>
          <w:noProof w:val="0"/>
          <w:rtl/>
        </w:rPr>
      </w:pPr>
      <w:r>
        <w:rPr>
          <w:rFonts w:ascii="Arial" w:hAnsi="Arial" w:hint="cs"/>
          <w:noProof w:val="0"/>
          <w:rtl/>
        </w:rPr>
        <w:t xml:space="preserve">עם זאת, בצד הקביעה החוזרת בדבר קיצוניות הסעד מובהר, כי יש לעשות שימוש באפשרות של סילוק על הסף במקרים המתאימים כדי להימנע מבירור תביעה שאין לה תכלית. כך, בענין כץ האמור קבע בית המשפט העליון, כי </w:t>
      </w:r>
      <w:r w:rsidR="0074078E">
        <w:rPr>
          <w:rFonts w:ascii="Arial" w:hAnsi="Arial" w:hint="cs"/>
          <w:noProof w:val="0"/>
          <w:rtl/>
        </w:rPr>
        <w:t xml:space="preserve">סילוק על הסף </w:t>
      </w:r>
      <w:r w:rsidR="0074078E">
        <w:rPr>
          <w:rFonts w:ascii="Arial" w:hAnsi="Arial" w:hint="cs"/>
          <w:b/>
          <w:bCs/>
          <w:noProof w:val="0"/>
          <w:rtl/>
        </w:rPr>
        <w:t xml:space="preserve">"... </w:t>
      </w:r>
      <w:r w:rsidR="007A6136" w:rsidRPr="007A6136">
        <w:rPr>
          <w:rFonts w:ascii="Arial" w:hAnsi="Arial"/>
          <w:b/>
          <w:bCs/>
          <w:noProof w:val="0"/>
          <w:rtl/>
        </w:rPr>
        <w:t>ממלא אמצעי זה תפקיד חיוני בסינון תביעות סרק טורדניות. הפסיקה קבעה כי באיתור נקודת האיזון הראוי בין זכות הגישה לערכאות הנתונה לבעלי הדין מזה ולשיקולי המדיניות המשפטית והדיונית מזה, השימוש בסעד הסילוק על הסף ייעשה בזהירות רבה ורק במקרים בהם שוכנע בית המשפט כי אף לו יתנהלו</w:t>
      </w:r>
      <w:r w:rsidR="007A6136" w:rsidRPr="007A6136">
        <w:rPr>
          <w:rFonts w:ascii="Arial" w:hAnsi="Arial" w:hint="cs"/>
          <w:b/>
          <w:bCs/>
          <w:noProof w:val="0"/>
          <w:rtl/>
        </w:rPr>
        <w:t xml:space="preserve"> </w:t>
      </w:r>
      <w:r w:rsidR="007A6136" w:rsidRPr="007A6136">
        <w:rPr>
          <w:rFonts w:ascii="Arial" w:hAnsi="Arial"/>
          <w:b/>
          <w:bCs/>
          <w:noProof w:val="0"/>
          <w:rtl/>
        </w:rPr>
        <w:t>הליכי המשפט במלואם, ובהנחה כי תוכחנה העובדות המפורטות בכתב התביעה, לא יהיה בתביעה הנדונה כדי לספק לתובע את הסעד אותו הוא מבקש</w:t>
      </w:r>
      <w:r w:rsidR="007A6136">
        <w:rPr>
          <w:rFonts w:ascii="Arial" w:hAnsi="Arial" w:hint="cs"/>
          <w:noProof w:val="0"/>
          <w:rtl/>
        </w:rPr>
        <w:t>"</w:t>
      </w:r>
      <w:r w:rsidR="0074078E">
        <w:rPr>
          <w:rFonts w:ascii="Arial" w:hAnsi="Arial" w:hint="cs"/>
          <w:noProof w:val="0"/>
          <w:rtl/>
        </w:rPr>
        <w:t>.</w:t>
      </w:r>
      <w:r w:rsidR="007A6136" w:rsidRPr="007A6136">
        <w:rPr>
          <w:rFonts w:ascii="Arial" w:hAnsi="Arial"/>
          <w:noProof w:val="0"/>
          <w:rtl/>
        </w:rPr>
        <w:t xml:space="preserve"> </w:t>
      </w:r>
    </w:p>
    <w:p w:rsidR="006A6137" w:rsidRDefault="00975099" w:rsidP="0074078E">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אכן, יש ממש בטענותיו של </w:t>
      </w:r>
      <w:r w:rsidR="000F7C34">
        <w:rPr>
          <w:rFonts w:ascii="Arial" w:hAnsi="Arial" w:hint="cs"/>
          <w:noProof w:val="0"/>
          <w:rtl/>
        </w:rPr>
        <w:t>פלוני</w:t>
      </w:r>
      <w:r>
        <w:rPr>
          <w:rFonts w:ascii="Arial" w:hAnsi="Arial" w:hint="cs"/>
          <w:noProof w:val="0"/>
          <w:rtl/>
        </w:rPr>
        <w:t xml:space="preserve"> ביחס להפעלת סמכות בית המשפט לסלק תביעה על הסף בנסיבות חריגות בלבד ולמשמעות של מניעת בירור הטענות בשלב מוקדם של ההליך אולם במקרה שלפניי אני סבורה כי מקיימות אותן נסיבות חריגות המצדיקו</w:t>
      </w:r>
      <w:r w:rsidR="0074078E">
        <w:rPr>
          <w:rFonts w:ascii="Arial" w:hAnsi="Arial" w:hint="cs"/>
          <w:noProof w:val="0"/>
          <w:rtl/>
        </w:rPr>
        <w:t>ת סילוקה של התבי</w:t>
      </w:r>
      <w:r w:rsidR="00881C08">
        <w:rPr>
          <w:rFonts w:ascii="Arial" w:hAnsi="Arial" w:hint="cs"/>
          <w:noProof w:val="0"/>
          <w:rtl/>
        </w:rPr>
        <w:t>עה עוד בטרם החל בירורה הן מאחר ש</w:t>
      </w:r>
      <w:r w:rsidR="0074078E">
        <w:rPr>
          <w:rFonts w:ascii="Arial" w:hAnsi="Arial" w:hint="cs"/>
          <w:noProof w:val="0"/>
          <w:rtl/>
        </w:rPr>
        <w:t>מדובר ב</w:t>
      </w:r>
      <w:r w:rsidR="0074078E" w:rsidRPr="00881C08">
        <w:rPr>
          <w:rFonts w:ascii="Arial" w:hAnsi="Arial" w:hint="cs"/>
          <w:b/>
          <w:bCs/>
          <w:noProof w:val="0"/>
          <w:rtl/>
        </w:rPr>
        <w:t>מחלוקות שבירורן הוא בסמכותו ה</w:t>
      </w:r>
      <w:r w:rsidR="00B330EA" w:rsidRPr="00881C08">
        <w:rPr>
          <w:rFonts w:ascii="Arial" w:hAnsi="Arial" w:hint="cs"/>
          <w:b/>
          <w:bCs/>
          <w:noProof w:val="0"/>
          <w:rtl/>
        </w:rPr>
        <w:t>י</w:t>
      </w:r>
      <w:r w:rsidR="0074078E" w:rsidRPr="00881C08">
        <w:rPr>
          <w:rFonts w:ascii="Arial" w:hAnsi="Arial" w:hint="cs"/>
          <w:b/>
          <w:bCs/>
          <w:noProof w:val="0"/>
          <w:rtl/>
        </w:rPr>
        <w:t>יחודית של בית הדין לעבודה</w:t>
      </w:r>
      <w:r w:rsidR="0074078E">
        <w:rPr>
          <w:rFonts w:ascii="Arial" w:hAnsi="Arial" w:hint="cs"/>
          <w:noProof w:val="0"/>
          <w:rtl/>
        </w:rPr>
        <w:t>; הן מאחר ש</w:t>
      </w:r>
      <w:r w:rsidR="0074078E" w:rsidRPr="00881C08">
        <w:rPr>
          <w:rFonts w:ascii="Arial" w:hAnsi="Arial" w:hint="cs"/>
          <w:b/>
          <w:bCs/>
          <w:noProof w:val="0"/>
          <w:rtl/>
        </w:rPr>
        <w:t xml:space="preserve">המחלוקות שדורשות בירור כעת לא נכנסות בגדרו של בירור </w:t>
      </w:r>
      <w:r w:rsidR="0074078E" w:rsidRPr="00881C08">
        <w:rPr>
          <w:rFonts w:ascii="Arial" w:hAnsi="Arial" w:hint="cs"/>
          <w:b/>
          <w:bCs/>
          <w:noProof w:val="0"/>
          <w:rtl/>
        </w:rPr>
        <w:lastRenderedPageBreak/>
        <w:t>בדבר אכיפה של ההסכם או טענה להפרה של ההסכם</w:t>
      </w:r>
      <w:r w:rsidR="0074078E">
        <w:rPr>
          <w:rFonts w:ascii="Arial" w:hAnsi="Arial" w:hint="cs"/>
          <w:noProof w:val="0"/>
          <w:rtl/>
        </w:rPr>
        <w:t>; הן מאחר ש</w:t>
      </w:r>
      <w:r w:rsidR="0074078E" w:rsidRPr="00881C08">
        <w:rPr>
          <w:rFonts w:ascii="Arial" w:hAnsi="Arial" w:hint="cs"/>
          <w:b/>
          <w:bCs/>
          <w:noProof w:val="0"/>
          <w:rtl/>
        </w:rPr>
        <w:t>המחלוקות אינן נובעות מקיום ההסכם או מהוראותיו</w:t>
      </w:r>
      <w:r w:rsidR="0074078E">
        <w:rPr>
          <w:rFonts w:ascii="Arial" w:hAnsi="Arial" w:hint="cs"/>
          <w:noProof w:val="0"/>
          <w:rtl/>
        </w:rPr>
        <w:t>; הן מאחר ש</w:t>
      </w:r>
      <w:r w:rsidR="0074078E" w:rsidRPr="00881C08">
        <w:rPr>
          <w:rFonts w:ascii="Arial" w:hAnsi="Arial" w:hint="cs"/>
          <w:b/>
          <w:bCs/>
          <w:noProof w:val="0"/>
          <w:rtl/>
        </w:rPr>
        <w:t xml:space="preserve">המחלוקות הן במישור היחסים בין </w:t>
      </w:r>
      <w:r w:rsidR="000F7C34">
        <w:rPr>
          <w:rFonts w:ascii="Arial" w:hAnsi="Arial" w:hint="cs"/>
          <w:b/>
          <w:bCs/>
          <w:noProof w:val="0"/>
          <w:rtl/>
        </w:rPr>
        <w:t>אלמונית</w:t>
      </w:r>
      <w:r w:rsidR="0074078E" w:rsidRPr="00881C08">
        <w:rPr>
          <w:rFonts w:ascii="Arial" w:hAnsi="Arial" w:hint="cs"/>
          <w:b/>
          <w:bCs/>
          <w:noProof w:val="0"/>
          <w:rtl/>
        </w:rPr>
        <w:t xml:space="preserve"> ובין החברה ואין בהסכם כדי לכבול אותה מבירור הטענות מול החברה</w:t>
      </w:r>
      <w:r w:rsidR="0074078E">
        <w:rPr>
          <w:rFonts w:ascii="Arial" w:hAnsi="Arial" w:hint="cs"/>
          <w:noProof w:val="0"/>
          <w:rtl/>
        </w:rPr>
        <w:t xml:space="preserve"> והן מאחר ש</w:t>
      </w:r>
      <w:r w:rsidR="0074078E" w:rsidRPr="00881C08">
        <w:rPr>
          <w:rFonts w:ascii="Arial" w:hAnsi="Arial" w:hint="cs"/>
          <w:b/>
          <w:bCs/>
          <w:noProof w:val="0"/>
          <w:rtl/>
        </w:rPr>
        <w:t>אכיפת סעיף הבוררות משמעו אכיפת הליך שבפועל מתנהל מול החברה מבלי שהחברה הסכימה לבוררות ומבלי ש</w:t>
      </w:r>
      <w:r w:rsidR="000F7C34">
        <w:rPr>
          <w:rFonts w:ascii="Arial" w:hAnsi="Arial" w:hint="cs"/>
          <w:b/>
          <w:bCs/>
          <w:noProof w:val="0"/>
          <w:rtl/>
        </w:rPr>
        <w:t>אלמונית</w:t>
      </w:r>
      <w:r w:rsidR="0074078E" w:rsidRPr="00881C08">
        <w:rPr>
          <w:rFonts w:ascii="Arial" w:hAnsi="Arial" w:hint="cs"/>
          <w:b/>
          <w:bCs/>
          <w:noProof w:val="0"/>
          <w:rtl/>
        </w:rPr>
        <w:t xml:space="preserve"> הסכימה לבוררות מול החברה.</w:t>
      </w:r>
      <w:r w:rsidR="0074078E">
        <w:rPr>
          <w:rFonts w:ascii="Arial" w:hAnsi="Arial" w:hint="cs"/>
          <w:noProof w:val="0"/>
          <w:rtl/>
        </w:rPr>
        <w:t xml:space="preserve"> </w:t>
      </w:r>
    </w:p>
    <w:p w:rsidR="007A6136" w:rsidRDefault="00975099" w:rsidP="006A6137">
      <w:pPr>
        <w:pStyle w:val="ad"/>
        <w:spacing w:after="120" w:line="360" w:lineRule="auto"/>
        <w:ind w:left="567"/>
        <w:contextualSpacing w:val="0"/>
        <w:jc w:val="both"/>
        <w:rPr>
          <w:rFonts w:ascii="Arial" w:hAnsi="Arial"/>
          <w:noProof w:val="0"/>
        </w:rPr>
      </w:pPr>
      <w:r>
        <w:rPr>
          <w:rFonts w:ascii="Arial" w:hAnsi="Arial" w:hint="cs"/>
          <w:noProof w:val="0"/>
          <w:rtl/>
        </w:rPr>
        <w:t xml:space="preserve">אסביר ואפרט. </w:t>
      </w:r>
    </w:p>
    <w:p w:rsidR="006A6137" w:rsidRPr="006A6137" w:rsidRDefault="008959C7" w:rsidP="006A6137">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סעיף 2 לחוק </w:t>
      </w:r>
      <w:r w:rsidRPr="006A6137">
        <w:rPr>
          <w:rFonts w:ascii="Arial" w:hAnsi="Arial" w:hint="cs"/>
          <w:noProof w:val="0"/>
          <w:u w:val="single"/>
          <w:rtl/>
        </w:rPr>
        <w:t>בית המשפט לענייני משפחה</w:t>
      </w:r>
      <w:r>
        <w:rPr>
          <w:rFonts w:ascii="Arial" w:hAnsi="Arial" w:hint="cs"/>
          <w:noProof w:val="0"/>
          <w:rtl/>
        </w:rPr>
        <w:t xml:space="preserve">, תשנ"ה-1995 </w:t>
      </w:r>
      <w:r w:rsidR="004B35FD">
        <w:rPr>
          <w:rFonts w:ascii="Arial" w:hAnsi="Arial" w:hint="cs"/>
          <w:noProof w:val="0"/>
          <w:rtl/>
        </w:rPr>
        <w:t>(</w:t>
      </w:r>
      <w:r w:rsidR="004B35FD">
        <w:rPr>
          <w:rFonts w:ascii="Arial" w:hAnsi="Arial" w:hint="cs"/>
          <w:b/>
          <w:bCs/>
          <w:noProof w:val="0"/>
          <w:rtl/>
        </w:rPr>
        <w:t>"חוק בית המשפט לענייני משפחה"</w:t>
      </w:r>
      <w:r w:rsidR="004B35FD">
        <w:rPr>
          <w:rFonts w:ascii="Arial" w:hAnsi="Arial" w:hint="cs"/>
          <w:noProof w:val="0"/>
          <w:rtl/>
        </w:rPr>
        <w:t xml:space="preserve">) </w:t>
      </w:r>
      <w:r>
        <w:rPr>
          <w:rFonts w:ascii="Arial" w:hAnsi="Arial" w:hint="cs"/>
          <w:noProof w:val="0"/>
          <w:rtl/>
        </w:rPr>
        <w:t xml:space="preserve">קובע את גדרי סמכותו של בית משפט זה </w:t>
      </w:r>
      <w:r w:rsidR="006A6137">
        <w:rPr>
          <w:rFonts w:ascii="Arial" w:hAnsi="Arial" w:hint="cs"/>
          <w:noProof w:val="0"/>
          <w:rtl/>
        </w:rPr>
        <w:t>לדון ב</w:t>
      </w:r>
      <w:r w:rsidR="006A6137">
        <w:rPr>
          <w:rFonts w:ascii="Arial" w:hAnsi="Arial" w:cs="Arial" w:hint="cs"/>
          <w:color w:val="000000"/>
          <w:sz w:val="21"/>
          <w:szCs w:val="21"/>
          <w:shd w:val="clear" w:color="auto" w:fill="FFFFFF"/>
          <w:rtl/>
        </w:rPr>
        <w:t>"</w:t>
      </w:r>
      <w:r w:rsidR="006A6137" w:rsidRPr="006A6137">
        <w:rPr>
          <w:rFonts w:ascii="Arial" w:hAnsi="Arial"/>
          <w:b/>
          <w:bCs/>
          <w:noProof w:val="0"/>
          <w:rtl/>
        </w:rPr>
        <w:t>תובענה אזרחית בין אדם או עזבונו לבין בן משפחתו, או עזבונו, שעילתה סכסוך בתוך המשפחה, יהא נושאה או שוויה אשר יהא</w:t>
      </w:r>
      <w:r w:rsidR="006A6137">
        <w:rPr>
          <w:rFonts w:ascii="Arial" w:hAnsi="Arial" w:hint="cs"/>
          <w:b/>
          <w:bCs/>
          <w:noProof w:val="0"/>
          <w:rtl/>
        </w:rPr>
        <w:t xml:space="preserve">". </w:t>
      </w:r>
    </w:p>
    <w:p w:rsidR="00975099" w:rsidRPr="006A6137" w:rsidRDefault="006A6137" w:rsidP="00B330EA">
      <w:pPr>
        <w:pStyle w:val="ad"/>
        <w:spacing w:after="120" w:line="360" w:lineRule="auto"/>
        <w:ind w:left="567"/>
        <w:contextualSpacing w:val="0"/>
        <w:jc w:val="both"/>
        <w:rPr>
          <w:rFonts w:ascii="Arial" w:hAnsi="Arial"/>
          <w:noProof w:val="0"/>
        </w:rPr>
      </w:pPr>
      <w:r w:rsidRPr="006A6137">
        <w:rPr>
          <w:rFonts w:ascii="Arial" w:hAnsi="Arial" w:hint="cs"/>
          <w:noProof w:val="0"/>
          <w:rtl/>
        </w:rPr>
        <w:t xml:space="preserve">סעיף זה </w:t>
      </w:r>
      <w:r>
        <w:rPr>
          <w:rFonts w:ascii="Arial" w:hAnsi="Arial" w:hint="cs"/>
          <w:noProof w:val="0"/>
          <w:rtl/>
        </w:rPr>
        <w:t xml:space="preserve">מציב למעשה שני תנאים מצטברים לקניית סמכות שיפוט </w:t>
      </w:r>
      <w:r w:rsidR="00B330EA">
        <w:rPr>
          <w:rFonts w:ascii="Arial" w:hAnsi="Arial" w:hint="cs"/>
          <w:noProof w:val="0"/>
          <w:rtl/>
        </w:rPr>
        <w:t>י</w:t>
      </w:r>
      <w:r>
        <w:rPr>
          <w:rFonts w:ascii="Arial" w:hAnsi="Arial" w:hint="cs"/>
          <w:noProof w:val="0"/>
          <w:rtl/>
        </w:rPr>
        <w:t xml:space="preserve">יחודית לדון בתביעה אזרחית - זהות הצדדים וקיום קרבה משפחתית ביניהם ומהותו של הסכסוך כנובע מהיחסים המשפחתיים (רע"א 6750/15 </w:t>
      </w:r>
      <w:r>
        <w:rPr>
          <w:rFonts w:ascii="Arial" w:hAnsi="Arial" w:hint="cs"/>
          <w:b/>
          <w:bCs/>
          <w:noProof w:val="0"/>
          <w:rtl/>
        </w:rPr>
        <w:t>סולומון נ' אוליאל (</w:t>
      </w:r>
      <w:r>
        <w:rPr>
          <w:rFonts w:ascii="Arial" w:hAnsi="Arial" w:hint="cs"/>
          <w:noProof w:val="0"/>
          <w:rtl/>
        </w:rPr>
        <w:t xml:space="preserve">4.1.2016) וכן ראו רע"א 6588/90 </w:t>
      </w:r>
      <w:r>
        <w:rPr>
          <w:rFonts w:ascii="Arial" w:hAnsi="Arial" w:hint="cs"/>
          <w:b/>
          <w:bCs/>
          <w:noProof w:val="0"/>
          <w:rtl/>
        </w:rPr>
        <w:t xml:space="preserve">חבס נ' חבס </w:t>
      </w:r>
      <w:r>
        <w:rPr>
          <w:rFonts w:ascii="Arial" w:hAnsi="Arial" w:hint="cs"/>
          <w:noProof w:val="0"/>
          <w:rtl/>
        </w:rPr>
        <w:t>(</w:t>
      </w:r>
      <w:r w:rsidR="00B330EA">
        <w:rPr>
          <w:rFonts w:ascii="Arial" w:hAnsi="Arial" w:hint="cs"/>
          <w:noProof w:val="0"/>
          <w:rtl/>
        </w:rPr>
        <w:t>30.8.2000</w:t>
      </w:r>
      <w:r>
        <w:rPr>
          <w:rFonts w:ascii="Arial" w:hAnsi="Arial" w:hint="cs"/>
          <w:noProof w:val="0"/>
          <w:rtl/>
        </w:rPr>
        <w:t xml:space="preserve">)); </w:t>
      </w:r>
    </w:p>
    <w:p w:rsidR="00F83C32" w:rsidRDefault="006A6137" w:rsidP="00F83C32">
      <w:pPr>
        <w:pStyle w:val="ad"/>
        <w:numPr>
          <w:ilvl w:val="0"/>
          <w:numId w:val="1"/>
        </w:numPr>
        <w:spacing w:after="120" w:line="360" w:lineRule="auto"/>
        <w:ind w:left="567" w:hanging="567"/>
        <w:contextualSpacing w:val="0"/>
        <w:jc w:val="both"/>
        <w:rPr>
          <w:rFonts w:ascii="Arial" w:hAnsi="Arial"/>
          <w:noProof w:val="0"/>
        </w:rPr>
      </w:pPr>
      <w:r w:rsidRPr="00F83C32">
        <w:rPr>
          <w:rFonts w:ascii="Arial" w:hAnsi="Arial" w:hint="cs"/>
          <w:noProof w:val="0"/>
          <w:rtl/>
        </w:rPr>
        <w:t xml:space="preserve">סעיף 24(א)(1) </w:t>
      </w:r>
      <w:r w:rsidRPr="00F83C32">
        <w:rPr>
          <w:rFonts w:ascii="Arial" w:hAnsi="Arial" w:hint="cs"/>
          <w:noProof w:val="0"/>
          <w:u w:val="single"/>
          <w:rtl/>
        </w:rPr>
        <w:t>לחוק בית הדין לעבודה,</w:t>
      </w:r>
      <w:r w:rsidRPr="00F83C32">
        <w:rPr>
          <w:rFonts w:ascii="Arial" w:hAnsi="Arial" w:hint="cs"/>
          <w:noProof w:val="0"/>
          <w:rtl/>
        </w:rPr>
        <w:t xml:space="preserve"> תשכ"ט-1969</w:t>
      </w:r>
      <w:r w:rsidRPr="00F83C32">
        <w:rPr>
          <w:rFonts w:ascii="Arial" w:hAnsi="Arial" w:hint="cs"/>
          <w:b/>
          <w:bCs/>
          <w:noProof w:val="0"/>
          <w:rtl/>
        </w:rPr>
        <w:t xml:space="preserve"> </w:t>
      </w:r>
      <w:r w:rsidRPr="00F83C32">
        <w:rPr>
          <w:rFonts w:ascii="Arial" w:hAnsi="Arial" w:hint="cs"/>
          <w:noProof w:val="0"/>
          <w:rtl/>
        </w:rPr>
        <w:t xml:space="preserve">קובע את </w:t>
      </w:r>
      <w:r w:rsidR="00F83C32" w:rsidRPr="00F83C32">
        <w:rPr>
          <w:rFonts w:ascii="Arial" w:hAnsi="Arial" w:hint="cs"/>
          <w:noProof w:val="0"/>
          <w:rtl/>
        </w:rPr>
        <w:t>גדרי סמכותו של בית הדין לעבודה לדון, בין היתר</w:t>
      </w:r>
      <w:r w:rsidR="00F83C32" w:rsidRPr="00F83C32">
        <w:rPr>
          <w:rFonts w:ascii="Arial" w:hAnsi="Arial" w:hint="cs"/>
          <w:b/>
          <w:bCs/>
          <w:noProof w:val="0"/>
          <w:rtl/>
        </w:rPr>
        <w:t xml:space="preserve">, </w:t>
      </w:r>
      <w:r w:rsidR="00F83C32" w:rsidRPr="00F83C32">
        <w:rPr>
          <w:rFonts w:ascii="Arial" w:hAnsi="Arial"/>
          <w:noProof w:val="0"/>
          <w:rtl/>
        </w:rPr>
        <w:t>ב</w:t>
      </w:r>
      <w:r w:rsidR="00F83C32" w:rsidRPr="00F83C32">
        <w:rPr>
          <w:rFonts w:ascii="Arial" w:hAnsi="Arial" w:hint="cs"/>
          <w:b/>
          <w:bCs/>
          <w:noProof w:val="0"/>
          <w:rtl/>
        </w:rPr>
        <w:t>"</w:t>
      </w:r>
      <w:r w:rsidR="00F83C32" w:rsidRPr="00F83C32">
        <w:rPr>
          <w:rFonts w:ascii="Arial" w:hAnsi="Arial"/>
          <w:b/>
          <w:bCs/>
          <w:noProof w:val="0"/>
          <w:rtl/>
        </w:rPr>
        <w:t xml:space="preserve">תובענות בין עובד או חליפו למעסיק או חליפו שעילתן ביחסי עבודה, לרבות השאלה בדבר עצם קיום יחסי עבודה </w:t>
      </w:r>
      <w:r w:rsidR="00F83C32" w:rsidRPr="00F83C32">
        <w:rPr>
          <w:rFonts w:ascii="Arial" w:hAnsi="Arial" w:hint="cs"/>
          <w:b/>
          <w:bCs/>
          <w:noProof w:val="0"/>
          <w:rtl/>
        </w:rPr>
        <w:t xml:space="preserve">..." </w:t>
      </w:r>
      <w:r w:rsidR="00F83C32" w:rsidRPr="00F83C32">
        <w:rPr>
          <w:rFonts w:ascii="Arial" w:hAnsi="Arial" w:hint="cs"/>
          <w:noProof w:val="0"/>
          <w:rtl/>
        </w:rPr>
        <w:t xml:space="preserve">וכן </w:t>
      </w:r>
      <w:r w:rsidR="00F83C32">
        <w:rPr>
          <w:rFonts w:ascii="Arial" w:hAnsi="Arial" w:hint="cs"/>
          <w:b/>
          <w:bCs/>
          <w:noProof w:val="0"/>
          <w:rtl/>
        </w:rPr>
        <w:t>"</w:t>
      </w:r>
      <w:r w:rsidR="00F83C32" w:rsidRPr="00F83C32">
        <w:rPr>
          <w:rFonts w:ascii="Arial" w:hAnsi="Arial"/>
          <w:b/>
          <w:bCs/>
          <w:noProof w:val="0"/>
          <w:rtl/>
        </w:rPr>
        <w:t xml:space="preserve">בתובענה שעילתה בחוזה כאמור לפני שנוצרו יחסי עבודה </w:t>
      </w:r>
      <w:r w:rsidR="00F83C32">
        <w:rPr>
          <w:rFonts w:ascii="Arial" w:hAnsi="Arial" w:hint="cs"/>
          <w:b/>
          <w:bCs/>
          <w:noProof w:val="0"/>
          <w:rtl/>
        </w:rPr>
        <w:t>..."</w:t>
      </w:r>
      <w:r w:rsidR="00F83C32" w:rsidRPr="00F83C32">
        <w:rPr>
          <w:rFonts w:ascii="Arial" w:hAnsi="Arial" w:hint="cs"/>
          <w:noProof w:val="0"/>
          <w:rtl/>
        </w:rPr>
        <w:t>.</w:t>
      </w:r>
    </w:p>
    <w:p w:rsidR="00F83C32" w:rsidRDefault="00F83C32" w:rsidP="00D82EFD">
      <w:pPr>
        <w:pStyle w:val="ad"/>
        <w:spacing w:after="120" w:line="360" w:lineRule="auto"/>
        <w:ind w:left="567"/>
        <w:contextualSpacing w:val="0"/>
        <w:jc w:val="both"/>
        <w:rPr>
          <w:rFonts w:ascii="Arial" w:hAnsi="Arial"/>
          <w:noProof w:val="0"/>
          <w:rtl/>
        </w:rPr>
      </w:pPr>
      <w:r>
        <w:rPr>
          <w:rFonts w:ascii="Arial" w:hAnsi="Arial" w:hint="cs"/>
          <w:noProof w:val="0"/>
          <w:rtl/>
        </w:rPr>
        <w:t>כך, הוראות החוק האמורות מגדירות סמכות ייחודית לדון בתביעות שעילתן ביחסי עבודה</w:t>
      </w:r>
      <w:r w:rsidR="00D82EFD">
        <w:rPr>
          <w:rFonts w:ascii="Arial" w:hAnsi="Arial" w:hint="cs"/>
          <w:noProof w:val="0"/>
          <w:rtl/>
        </w:rPr>
        <w:t>.</w:t>
      </w:r>
      <w:r>
        <w:rPr>
          <w:rFonts w:ascii="Arial" w:hAnsi="Arial" w:hint="cs"/>
          <w:noProof w:val="0"/>
          <w:rtl/>
        </w:rPr>
        <w:t xml:space="preserve"> </w:t>
      </w:r>
    </w:p>
    <w:p w:rsidR="00D82EFD" w:rsidRPr="004B35FD" w:rsidRDefault="004B35FD" w:rsidP="00D82EFD">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בכדי להסיר כל ספק, הבהיר המחוקק בסעיף 25 </w:t>
      </w:r>
      <w:r w:rsidRPr="00B330EA">
        <w:rPr>
          <w:rFonts w:ascii="Arial" w:hAnsi="Arial" w:hint="cs"/>
          <w:noProof w:val="0"/>
          <w:u w:val="single"/>
          <w:rtl/>
        </w:rPr>
        <w:t>לחוק בית המשפט לענייני משפחה</w:t>
      </w:r>
      <w:r>
        <w:rPr>
          <w:rFonts w:ascii="Arial" w:hAnsi="Arial" w:hint="cs"/>
          <w:noProof w:val="0"/>
          <w:rtl/>
        </w:rPr>
        <w:t xml:space="preserve">, כי קיימת "שמירת סמכויות" וכי </w:t>
      </w:r>
      <w:r>
        <w:rPr>
          <w:rFonts w:ascii="Arial" w:hAnsi="Arial" w:hint="cs"/>
          <w:b/>
          <w:bCs/>
          <w:noProof w:val="0"/>
          <w:rtl/>
        </w:rPr>
        <w:t xml:space="preserve">"חוק זה אינו בא לגרוע מסמכויותיהם של בתי הדין הדתיים ובית הדין לעבודה". </w:t>
      </w:r>
    </w:p>
    <w:p w:rsidR="00B330EA" w:rsidRDefault="004B35FD" w:rsidP="00D82EFD">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בבע"מ 9948/04 </w:t>
      </w:r>
      <w:r w:rsidRPr="00540895">
        <w:rPr>
          <w:rFonts w:ascii="Arial" w:hAnsi="Arial" w:hint="cs"/>
          <w:b/>
          <w:bCs/>
          <w:noProof w:val="0"/>
          <w:rtl/>
        </w:rPr>
        <w:t>פלוני נ' פלונית</w:t>
      </w:r>
      <w:r>
        <w:rPr>
          <w:rFonts w:ascii="Arial" w:hAnsi="Arial" w:hint="cs"/>
          <w:noProof w:val="0"/>
          <w:rtl/>
        </w:rPr>
        <w:t xml:space="preserve"> (26.10.2005) נדרש בית המשפט העליון לשאלת סמכות בית המשפט לענייני משפחה לדון בסכסוך הנוגע לפיטורי אישה מחברה בבעלות בעלה לשעבר. </w:t>
      </w:r>
    </w:p>
    <w:p w:rsidR="00540895" w:rsidRDefault="004B35FD" w:rsidP="006018C5">
      <w:pPr>
        <w:pStyle w:val="ad"/>
        <w:spacing w:after="120" w:line="360" w:lineRule="auto"/>
        <w:ind w:left="567"/>
        <w:contextualSpacing w:val="0"/>
        <w:jc w:val="both"/>
        <w:rPr>
          <w:rFonts w:ascii="Arial" w:hAnsi="Arial"/>
          <w:noProof w:val="0"/>
        </w:rPr>
      </w:pPr>
      <w:r>
        <w:rPr>
          <w:rFonts w:ascii="Arial" w:hAnsi="Arial" w:hint="cs"/>
          <w:noProof w:val="0"/>
          <w:rtl/>
        </w:rPr>
        <w:t xml:space="preserve">בית המשפט העליון הדגיש את המאפיינים של </w:t>
      </w:r>
      <w:r w:rsidR="006018C5">
        <w:rPr>
          <w:rFonts w:ascii="Arial" w:hAnsi="Arial" w:hint="cs"/>
          <w:noProof w:val="0"/>
          <w:rtl/>
        </w:rPr>
        <w:t>ה</w:t>
      </w:r>
      <w:r>
        <w:rPr>
          <w:rFonts w:ascii="Arial" w:hAnsi="Arial" w:hint="cs"/>
          <w:noProof w:val="0"/>
          <w:rtl/>
        </w:rPr>
        <w:t xml:space="preserve">סמכות ייחודית המוקנית לבית הדין לעבודה וקבע, כי </w:t>
      </w:r>
      <w:r w:rsidR="00540895">
        <w:rPr>
          <w:rFonts w:ascii="Arial" w:hAnsi="Arial" w:hint="cs"/>
          <w:noProof w:val="0"/>
          <w:rtl/>
        </w:rPr>
        <w:t>"</w:t>
      </w:r>
      <w:r w:rsidR="00684302">
        <w:rPr>
          <w:rFonts w:ascii="Arial" w:hAnsi="Arial" w:hint="cs"/>
          <w:b/>
          <w:bCs/>
          <w:noProof w:val="0"/>
          <w:rtl/>
        </w:rPr>
        <w:t xml:space="preserve">סמכותו של בית המשפט לענייני </w:t>
      </w:r>
      <w:r w:rsidR="00540895">
        <w:rPr>
          <w:rFonts w:ascii="Arial" w:hAnsi="Arial" w:hint="cs"/>
          <w:b/>
          <w:bCs/>
          <w:noProof w:val="0"/>
          <w:rtl/>
        </w:rPr>
        <w:t>מ</w:t>
      </w:r>
      <w:r w:rsidR="00684302">
        <w:rPr>
          <w:rFonts w:ascii="Arial" w:hAnsi="Arial" w:hint="cs"/>
          <w:b/>
          <w:bCs/>
          <w:noProof w:val="0"/>
          <w:rtl/>
        </w:rPr>
        <w:t>ש</w:t>
      </w:r>
      <w:r w:rsidR="00540895">
        <w:rPr>
          <w:rFonts w:ascii="Arial" w:hAnsi="Arial" w:hint="cs"/>
          <w:b/>
          <w:bCs/>
          <w:noProof w:val="0"/>
          <w:rtl/>
        </w:rPr>
        <w:t xml:space="preserve">פחה לדון בתובענה שעילתה סכסוך בתוך המשפחה היא סמכות עניינית הכפופה </w:t>
      </w:r>
      <w:r w:rsidR="006018C5">
        <w:rPr>
          <w:rFonts w:ascii="Arial" w:hAnsi="Arial" w:hint="cs"/>
          <w:b/>
          <w:bCs/>
          <w:noProof w:val="0"/>
          <w:rtl/>
        </w:rPr>
        <w:t>-</w:t>
      </w:r>
      <w:r w:rsidR="00540895">
        <w:rPr>
          <w:rFonts w:ascii="Arial" w:hAnsi="Arial" w:hint="cs"/>
          <w:b/>
          <w:bCs/>
          <w:noProof w:val="0"/>
          <w:rtl/>
        </w:rPr>
        <w:t xml:space="preserve"> על פי חוק בית המשפט לענייני משפחה </w:t>
      </w:r>
      <w:r w:rsidR="006018C5">
        <w:rPr>
          <w:rFonts w:ascii="Arial" w:hAnsi="Arial" w:hint="cs"/>
          <w:b/>
          <w:bCs/>
          <w:noProof w:val="0"/>
          <w:rtl/>
        </w:rPr>
        <w:t>-</w:t>
      </w:r>
      <w:r w:rsidR="00540895">
        <w:rPr>
          <w:rFonts w:ascii="Arial" w:hAnsi="Arial" w:hint="cs"/>
          <w:b/>
          <w:bCs/>
          <w:noProof w:val="0"/>
          <w:rtl/>
        </w:rPr>
        <w:t xml:space="preserve"> לסמכותו של בית הדין". </w:t>
      </w:r>
    </w:p>
    <w:p w:rsidR="004B35FD" w:rsidRDefault="00540895" w:rsidP="00540895">
      <w:pPr>
        <w:pStyle w:val="ad"/>
        <w:spacing w:after="120" w:line="360" w:lineRule="auto"/>
        <w:ind w:left="567"/>
        <w:contextualSpacing w:val="0"/>
        <w:jc w:val="both"/>
        <w:rPr>
          <w:rFonts w:ascii="Arial" w:hAnsi="Arial"/>
          <w:noProof w:val="0"/>
          <w:rtl/>
        </w:rPr>
      </w:pPr>
      <w:r>
        <w:rPr>
          <w:rFonts w:ascii="Arial" w:hAnsi="Arial" w:hint="cs"/>
          <w:noProof w:val="0"/>
          <w:rtl/>
        </w:rPr>
        <w:t>בית המשפט הוסיף וקבע, כי סמכות בית הדין לעבודה מקורה בעצם קיום קשרי עבודה ועילה שביחסי עבודה ו"</w:t>
      </w:r>
      <w:r>
        <w:rPr>
          <w:rFonts w:ascii="Arial" w:hAnsi="Arial" w:hint="cs"/>
          <w:b/>
          <w:bCs/>
          <w:noProof w:val="0"/>
          <w:rtl/>
        </w:rPr>
        <w:t xml:space="preserve">קשרי משפחה בהקשר זה אינם מעלים ואינם מורידים". </w:t>
      </w:r>
    </w:p>
    <w:p w:rsidR="00CA370E" w:rsidRDefault="00CA370E" w:rsidP="00CA370E">
      <w:pPr>
        <w:pStyle w:val="ad"/>
        <w:spacing w:after="120" w:line="360" w:lineRule="auto"/>
        <w:ind w:left="567"/>
        <w:contextualSpacing w:val="0"/>
        <w:jc w:val="both"/>
        <w:rPr>
          <w:rFonts w:ascii="Arial" w:hAnsi="Arial"/>
          <w:noProof w:val="0"/>
          <w:rtl/>
        </w:rPr>
      </w:pPr>
      <w:r>
        <w:rPr>
          <w:rFonts w:ascii="Arial" w:hAnsi="Arial" w:hint="cs"/>
          <w:noProof w:val="0"/>
          <w:rtl/>
        </w:rPr>
        <w:lastRenderedPageBreak/>
        <w:t xml:space="preserve">(ראו גם תמ"ש (נצרת) </w:t>
      </w:r>
      <w:r>
        <w:rPr>
          <w:rFonts w:ascii="Arial" w:hAnsi="Arial" w:hint="cs"/>
          <w:b/>
          <w:bCs/>
          <w:noProof w:val="0"/>
          <w:rtl/>
        </w:rPr>
        <w:t xml:space="preserve">ג.ק. נ' ט.ק. </w:t>
      </w:r>
      <w:r>
        <w:rPr>
          <w:rFonts w:ascii="Arial" w:hAnsi="Arial" w:hint="cs"/>
          <w:noProof w:val="0"/>
          <w:rtl/>
        </w:rPr>
        <w:t xml:space="preserve">(29.4.2021) והאסמכתאות הרבות המוזכרות שם). </w:t>
      </w:r>
    </w:p>
    <w:p w:rsidR="006018C5" w:rsidRPr="00CA370E" w:rsidRDefault="006018C5" w:rsidP="00CA370E">
      <w:pPr>
        <w:pStyle w:val="ad"/>
        <w:spacing w:after="120" w:line="360" w:lineRule="auto"/>
        <w:ind w:left="567"/>
        <w:contextualSpacing w:val="0"/>
        <w:jc w:val="both"/>
        <w:rPr>
          <w:rFonts w:ascii="Arial" w:hAnsi="Arial"/>
          <w:noProof w:val="0"/>
          <w:rtl/>
        </w:rPr>
      </w:pPr>
      <w:r>
        <w:rPr>
          <w:rFonts w:ascii="Arial" w:hAnsi="Arial" w:hint="cs"/>
          <w:noProof w:val="0"/>
          <w:rtl/>
        </w:rPr>
        <w:t xml:space="preserve">כלומר, גם כאשר מתקיימים התנאים הקבועים בחוק בית המשפט לענייני משפחה ומדובר בבני משפחה ועילה שמקורה ביחסי המשפחה, כאשר מדובר בנושאים שנובעים מיחסי עבודה הסמכות היא לבית הדין. </w:t>
      </w:r>
    </w:p>
    <w:p w:rsidR="006018C5" w:rsidRDefault="000F7C34" w:rsidP="006018C5">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פלוני</w:t>
      </w:r>
      <w:r w:rsidR="00CA370E">
        <w:rPr>
          <w:rFonts w:ascii="Arial" w:hAnsi="Arial" w:hint="cs"/>
          <w:noProof w:val="0"/>
          <w:rtl/>
        </w:rPr>
        <w:t xml:space="preserve"> עומד על כך שמכח הוראות ההסכם יש להורות על הפניית הסכסוך לבוררות ואולם, הטענות שבפיה של </w:t>
      </w:r>
      <w:r>
        <w:rPr>
          <w:rFonts w:ascii="Arial" w:hAnsi="Arial" w:hint="cs"/>
          <w:noProof w:val="0"/>
          <w:rtl/>
        </w:rPr>
        <w:t>אלמונית</w:t>
      </w:r>
      <w:r w:rsidR="00CA370E">
        <w:rPr>
          <w:rFonts w:ascii="Arial" w:hAnsi="Arial" w:hint="cs"/>
          <w:noProof w:val="0"/>
          <w:rtl/>
        </w:rPr>
        <w:t xml:space="preserve"> בנקודת זמן זו אינן טענות </w:t>
      </w:r>
      <w:r w:rsidR="006018C5">
        <w:rPr>
          <w:rFonts w:ascii="Arial" w:hAnsi="Arial" w:hint="cs"/>
          <w:noProof w:val="0"/>
          <w:rtl/>
        </w:rPr>
        <w:t>שנובעות מ</w:t>
      </w:r>
      <w:r w:rsidR="00CA370E">
        <w:rPr>
          <w:rFonts w:ascii="Arial" w:hAnsi="Arial" w:hint="cs"/>
          <w:noProof w:val="0"/>
          <w:rtl/>
        </w:rPr>
        <w:t xml:space="preserve">הוראות ההסכם ואף לא במישור היחסים בין </w:t>
      </w:r>
      <w:r>
        <w:rPr>
          <w:rFonts w:ascii="Arial" w:hAnsi="Arial" w:hint="cs"/>
          <w:noProof w:val="0"/>
          <w:rtl/>
        </w:rPr>
        <w:t>פלוני</w:t>
      </w:r>
      <w:r w:rsidR="00CA370E">
        <w:rPr>
          <w:rFonts w:ascii="Arial" w:hAnsi="Arial" w:hint="cs"/>
          <w:noProof w:val="0"/>
          <w:rtl/>
        </w:rPr>
        <w:t xml:space="preserve"> ו</w:t>
      </w:r>
      <w:r>
        <w:rPr>
          <w:rFonts w:ascii="Arial" w:hAnsi="Arial" w:hint="cs"/>
          <w:noProof w:val="0"/>
          <w:rtl/>
        </w:rPr>
        <w:t>אלמונית</w:t>
      </w:r>
      <w:r w:rsidR="00CA370E">
        <w:rPr>
          <w:rFonts w:ascii="Arial" w:hAnsi="Arial" w:hint="cs"/>
          <w:noProof w:val="0"/>
          <w:rtl/>
        </w:rPr>
        <w:t>. הטענות הן ביחס לתנאי העסקה ו</w:t>
      </w:r>
      <w:r w:rsidR="006018C5">
        <w:rPr>
          <w:rFonts w:ascii="Arial" w:hAnsi="Arial" w:hint="cs"/>
          <w:noProof w:val="0"/>
          <w:rtl/>
        </w:rPr>
        <w:t xml:space="preserve">חישוב </w:t>
      </w:r>
      <w:r w:rsidR="00CA370E">
        <w:rPr>
          <w:rFonts w:ascii="Arial" w:hAnsi="Arial" w:hint="cs"/>
          <w:noProof w:val="0"/>
          <w:rtl/>
        </w:rPr>
        <w:t xml:space="preserve">תגמול במישור היחסים בינה ובין החברה. </w:t>
      </w:r>
    </w:p>
    <w:p w:rsidR="00891716" w:rsidRDefault="00CA370E" w:rsidP="006018C5">
      <w:pPr>
        <w:pStyle w:val="ad"/>
        <w:spacing w:after="120" w:line="360" w:lineRule="auto"/>
        <w:ind w:left="567"/>
        <w:contextualSpacing w:val="0"/>
        <w:jc w:val="both"/>
        <w:rPr>
          <w:rFonts w:ascii="Arial" w:hAnsi="Arial"/>
          <w:noProof w:val="0"/>
        </w:rPr>
      </w:pPr>
      <w:r>
        <w:rPr>
          <w:rFonts w:ascii="Arial" w:hAnsi="Arial" w:hint="cs"/>
          <w:noProof w:val="0"/>
          <w:rtl/>
        </w:rPr>
        <w:t>מ</w:t>
      </w:r>
      <w:r w:rsidR="00891716">
        <w:rPr>
          <w:rFonts w:ascii="Arial" w:hAnsi="Arial" w:hint="cs"/>
          <w:noProof w:val="0"/>
          <w:rtl/>
        </w:rPr>
        <w:t xml:space="preserve">פירוט הטענות במכתב הדרישה עולה, כי קיימות טענות ביחס לחישוב עמלות, ביחס לפדיון ימי מחלה וביחס לקיזוז סכומים משכר העבודה (ובכלל כך סכומים שעל המעביד לשלם לביטוח לאומי); מהבקשה עולה, כי בפי </w:t>
      </w:r>
      <w:r w:rsidR="000F7C34">
        <w:rPr>
          <w:rFonts w:ascii="Arial" w:hAnsi="Arial" w:hint="cs"/>
          <w:noProof w:val="0"/>
          <w:rtl/>
        </w:rPr>
        <w:t>אלמונית</w:t>
      </w:r>
      <w:r w:rsidR="00891716">
        <w:rPr>
          <w:rFonts w:ascii="Arial" w:hAnsi="Arial" w:hint="cs"/>
          <w:noProof w:val="0"/>
          <w:rtl/>
        </w:rPr>
        <w:t xml:space="preserve"> טענות גם ביחס לאופן סיום יחסי ההעסקה ואי קיום זכויות עובד שלא ניתן להתנות עליהן. </w:t>
      </w:r>
    </w:p>
    <w:p w:rsidR="006018C5" w:rsidRDefault="00891716" w:rsidP="00684302">
      <w:pPr>
        <w:pStyle w:val="ad"/>
        <w:spacing w:after="120" w:line="360" w:lineRule="auto"/>
        <w:ind w:left="567"/>
        <w:contextualSpacing w:val="0"/>
        <w:jc w:val="both"/>
        <w:rPr>
          <w:rFonts w:ascii="Arial" w:hAnsi="Arial"/>
          <w:noProof w:val="0"/>
          <w:rtl/>
        </w:rPr>
      </w:pPr>
      <w:r>
        <w:rPr>
          <w:rFonts w:ascii="Arial" w:hAnsi="Arial" w:hint="cs"/>
          <w:noProof w:val="0"/>
          <w:rtl/>
        </w:rPr>
        <w:t xml:space="preserve">מפירוט הטענות במכתב התשובה למכתב הדרישה ומהתגובה עולה, כי בפי </w:t>
      </w:r>
      <w:r w:rsidR="000F7C34">
        <w:rPr>
          <w:rFonts w:ascii="Arial" w:hAnsi="Arial" w:hint="cs"/>
          <w:noProof w:val="0"/>
          <w:rtl/>
        </w:rPr>
        <w:t>פלוני</w:t>
      </w:r>
      <w:r>
        <w:rPr>
          <w:rFonts w:ascii="Arial" w:hAnsi="Arial" w:hint="cs"/>
          <w:noProof w:val="0"/>
          <w:rtl/>
        </w:rPr>
        <w:t xml:space="preserve"> טענות </w:t>
      </w:r>
      <w:r w:rsidR="00684302">
        <w:rPr>
          <w:rFonts w:ascii="Arial" w:hAnsi="Arial" w:hint="cs"/>
          <w:noProof w:val="0"/>
          <w:rtl/>
        </w:rPr>
        <w:t xml:space="preserve">כלפי </w:t>
      </w:r>
      <w:r w:rsidR="000F7C34">
        <w:rPr>
          <w:rFonts w:ascii="Arial" w:hAnsi="Arial" w:hint="cs"/>
          <w:noProof w:val="0"/>
          <w:rtl/>
        </w:rPr>
        <w:t>אלמונית</w:t>
      </w:r>
      <w:r w:rsidR="00684302">
        <w:rPr>
          <w:rFonts w:ascii="Arial" w:hAnsi="Arial" w:hint="cs"/>
          <w:noProof w:val="0"/>
          <w:rtl/>
        </w:rPr>
        <w:t xml:space="preserve"> </w:t>
      </w:r>
      <w:r>
        <w:rPr>
          <w:rFonts w:ascii="Arial" w:hAnsi="Arial" w:hint="cs"/>
          <w:noProof w:val="0"/>
          <w:rtl/>
        </w:rPr>
        <w:t xml:space="preserve">ביחס לחריגה מסמכות, אי היענות להוראות ממונים, היעדרויות לא </w:t>
      </w:r>
      <w:r w:rsidR="00684302">
        <w:rPr>
          <w:rFonts w:ascii="Arial" w:hAnsi="Arial" w:hint="cs"/>
          <w:noProof w:val="0"/>
          <w:rtl/>
        </w:rPr>
        <w:t>מאושרות</w:t>
      </w:r>
      <w:r>
        <w:rPr>
          <w:rFonts w:ascii="Arial" w:hAnsi="Arial" w:hint="cs"/>
          <w:noProof w:val="0"/>
          <w:rtl/>
        </w:rPr>
        <w:t xml:space="preserve"> וביצוע משרה חלקית וכן הפרת אמון וחדש לביצוע עוולות מסחריות. </w:t>
      </w:r>
    </w:p>
    <w:p w:rsidR="00684302" w:rsidRDefault="00891716" w:rsidP="00684302">
      <w:pPr>
        <w:pStyle w:val="ad"/>
        <w:spacing w:after="120" w:line="360" w:lineRule="auto"/>
        <w:ind w:left="567"/>
        <w:contextualSpacing w:val="0"/>
        <w:jc w:val="both"/>
        <w:rPr>
          <w:rFonts w:ascii="Arial" w:hAnsi="Arial"/>
          <w:noProof w:val="0"/>
          <w:rtl/>
        </w:rPr>
      </w:pPr>
      <w:r>
        <w:rPr>
          <w:rFonts w:ascii="Arial" w:hAnsi="Arial" w:hint="cs"/>
          <w:noProof w:val="0"/>
          <w:rtl/>
        </w:rPr>
        <w:t>מובן, כי מדובר ברשימת טענות</w:t>
      </w:r>
      <w:r w:rsidR="00684302">
        <w:rPr>
          <w:rFonts w:ascii="Arial" w:hAnsi="Arial" w:hint="cs"/>
          <w:noProof w:val="0"/>
          <w:rtl/>
        </w:rPr>
        <w:t xml:space="preserve"> שעילתם ביחסי עבודה ואופן בירורן הוא באמצעות החלת דיני העבודה ובדיקת החיוב בהתאם להוראות הדין הרלבנטי. </w:t>
      </w:r>
    </w:p>
    <w:p w:rsidR="00DA1086" w:rsidRDefault="00684302" w:rsidP="00684302">
      <w:pPr>
        <w:pStyle w:val="ad"/>
        <w:spacing w:after="120" w:line="360" w:lineRule="auto"/>
        <w:ind w:left="567"/>
        <w:contextualSpacing w:val="0"/>
        <w:jc w:val="both"/>
        <w:rPr>
          <w:rFonts w:ascii="Arial" w:hAnsi="Arial"/>
          <w:noProof w:val="0"/>
          <w:rtl/>
        </w:rPr>
      </w:pPr>
      <w:r>
        <w:rPr>
          <w:rFonts w:ascii="Arial" w:hAnsi="Arial" w:hint="cs"/>
          <w:noProof w:val="0"/>
          <w:rtl/>
        </w:rPr>
        <w:t>מעבר למסקנה הברורה, כי הטענות הן בתחום סמכותו של בית הדין לעבודה</w:t>
      </w:r>
      <w:r w:rsidR="006018C5">
        <w:rPr>
          <w:rFonts w:ascii="Arial" w:hAnsi="Arial" w:hint="cs"/>
          <w:noProof w:val="0"/>
          <w:rtl/>
        </w:rPr>
        <w:t xml:space="preserve"> ובירורן צריך שיעשה על ידי הגורם לו מוקנית הסמכות</w:t>
      </w:r>
      <w:r>
        <w:rPr>
          <w:rFonts w:ascii="Arial" w:hAnsi="Arial" w:hint="cs"/>
          <w:noProof w:val="0"/>
          <w:rtl/>
        </w:rPr>
        <w:t xml:space="preserve">; ממילא למעט סוגיית העמלות והחזר הוצאות רכב, כל יתר הטענות מתייחסות לדברים שכלל לא הוסדרו בהסכם, אינן קשורות להוראות ההסכם והן נובעות מיחסי עבודה ותנאי העסקה על פי דין או על פי הסכם. </w:t>
      </w:r>
      <w:r w:rsidR="00891716">
        <w:rPr>
          <w:rFonts w:ascii="Arial" w:hAnsi="Arial" w:hint="cs"/>
          <w:noProof w:val="0"/>
          <w:rtl/>
        </w:rPr>
        <w:t xml:space="preserve"> </w:t>
      </w:r>
    </w:p>
    <w:p w:rsidR="003C737D" w:rsidRDefault="00DA1086" w:rsidP="00881C08">
      <w:pPr>
        <w:pStyle w:val="ad"/>
        <w:spacing w:after="120" w:line="360" w:lineRule="auto"/>
        <w:ind w:left="567"/>
        <w:contextualSpacing w:val="0"/>
        <w:jc w:val="both"/>
        <w:rPr>
          <w:rFonts w:ascii="Arial" w:hAnsi="Arial"/>
          <w:noProof w:val="0"/>
          <w:rtl/>
        </w:rPr>
      </w:pPr>
      <w:r>
        <w:rPr>
          <w:rFonts w:ascii="Arial" w:hAnsi="Arial" w:hint="cs"/>
          <w:noProof w:val="0"/>
          <w:rtl/>
        </w:rPr>
        <w:t xml:space="preserve">ועוד </w:t>
      </w:r>
      <w:r w:rsidR="00881C08">
        <w:rPr>
          <w:rFonts w:ascii="Arial" w:hAnsi="Arial" w:hint="cs"/>
          <w:noProof w:val="0"/>
          <w:rtl/>
        </w:rPr>
        <w:t xml:space="preserve">- </w:t>
      </w:r>
      <w:r>
        <w:rPr>
          <w:rFonts w:ascii="Arial" w:hAnsi="Arial" w:hint="cs"/>
          <w:noProof w:val="0"/>
          <w:rtl/>
        </w:rPr>
        <w:t xml:space="preserve">ההתחייבות של </w:t>
      </w:r>
      <w:r w:rsidR="000F7C34">
        <w:rPr>
          <w:rFonts w:ascii="Arial" w:hAnsi="Arial" w:hint="cs"/>
          <w:noProof w:val="0"/>
          <w:rtl/>
        </w:rPr>
        <w:t>פלוני</w:t>
      </w:r>
      <w:r>
        <w:rPr>
          <w:rFonts w:ascii="Arial" w:hAnsi="Arial" w:hint="cs"/>
          <w:noProof w:val="0"/>
          <w:rtl/>
        </w:rPr>
        <w:t xml:space="preserve"> בנוגע לשיעור העמלות והחזר הוצאות נסיעה היא למשך שנה בלבד, כך שהטענות לתקופה שלאחר חלוף השנה אינן מכח הוראות ההסכם במישור היחסים בין </w:t>
      </w:r>
      <w:r w:rsidR="000F7C34">
        <w:rPr>
          <w:rFonts w:ascii="Arial" w:hAnsi="Arial" w:hint="cs"/>
          <w:noProof w:val="0"/>
          <w:rtl/>
        </w:rPr>
        <w:t>פלוני</w:t>
      </w:r>
      <w:r>
        <w:rPr>
          <w:rFonts w:ascii="Arial" w:hAnsi="Arial" w:hint="cs"/>
          <w:noProof w:val="0"/>
          <w:rtl/>
        </w:rPr>
        <w:t xml:space="preserve"> ו</w:t>
      </w:r>
      <w:r w:rsidR="000F7C34">
        <w:rPr>
          <w:rFonts w:ascii="Arial" w:hAnsi="Arial" w:hint="cs"/>
          <w:noProof w:val="0"/>
          <w:rtl/>
        </w:rPr>
        <w:t>אלמונית</w:t>
      </w:r>
      <w:r>
        <w:rPr>
          <w:rFonts w:ascii="Arial" w:hAnsi="Arial" w:hint="cs"/>
          <w:noProof w:val="0"/>
          <w:rtl/>
        </w:rPr>
        <w:t xml:space="preserve"> (ואף אם היו במישור היחסים, כאמור,</w:t>
      </w:r>
      <w:r w:rsidR="003C737D">
        <w:rPr>
          <w:rFonts w:ascii="Arial" w:hAnsi="Arial" w:hint="cs"/>
          <w:noProof w:val="0"/>
          <w:rtl/>
        </w:rPr>
        <w:t xml:space="preserve"> ואף אם תוקפן לא היה פוקע -</w:t>
      </w:r>
      <w:r>
        <w:rPr>
          <w:rFonts w:ascii="Arial" w:hAnsi="Arial" w:hint="cs"/>
          <w:noProof w:val="0"/>
          <w:rtl/>
        </w:rPr>
        <w:t xml:space="preserve"> לאור הסמכות הייחודית של בית הדין לעבודה, גם אם מדובר היה בהתחייבות אישית של </w:t>
      </w:r>
      <w:r w:rsidR="000F7C34">
        <w:rPr>
          <w:rFonts w:ascii="Arial" w:hAnsi="Arial" w:hint="cs"/>
          <w:noProof w:val="0"/>
          <w:rtl/>
        </w:rPr>
        <w:t>פלוני</w:t>
      </w:r>
      <w:r>
        <w:rPr>
          <w:rFonts w:ascii="Arial" w:hAnsi="Arial" w:hint="cs"/>
          <w:noProof w:val="0"/>
          <w:rtl/>
        </w:rPr>
        <w:t xml:space="preserve"> במישור היחסים בין בני זוג לשעבר ובהתאם להוראות הסכם שאושר בבית המשפט לענייני משפחה </w:t>
      </w:r>
      <w:r w:rsidR="006018C5">
        <w:rPr>
          <w:rFonts w:ascii="Arial" w:hAnsi="Arial" w:hint="cs"/>
          <w:noProof w:val="0"/>
          <w:rtl/>
        </w:rPr>
        <w:t>-</w:t>
      </w:r>
      <w:r w:rsidR="003C737D">
        <w:rPr>
          <w:rFonts w:ascii="Arial" w:hAnsi="Arial" w:hint="cs"/>
          <w:noProof w:val="0"/>
          <w:rtl/>
        </w:rPr>
        <w:t xml:space="preserve"> היה הדבר בסמכות בית הדין לעבודה)</w:t>
      </w:r>
      <w:r>
        <w:rPr>
          <w:rFonts w:ascii="Arial" w:hAnsi="Arial" w:hint="cs"/>
          <w:noProof w:val="0"/>
          <w:rtl/>
        </w:rPr>
        <w:t xml:space="preserve">. </w:t>
      </w:r>
    </w:p>
    <w:p w:rsidR="00E66927" w:rsidRPr="001B6A63" w:rsidRDefault="003C737D" w:rsidP="000F7C34">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בסעיף 60 להסכם הסכימו </w:t>
      </w:r>
      <w:r w:rsidR="000F7C34">
        <w:rPr>
          <w:rFonts w:ascii="Arial" w:hAnsi="Arial" w:hint="cs"/>
          <w:noProof w:val="0"/>
          <w:rtl/>
        </w:rPr>
        <w:t>פלוני</w:t>
      </w:r>
      <w:r>
        <w:rPr>
          <w:rFonts w:ascii="Arial" w:hAnsi="Arial" w:hint="cs"/>
          <w:noProof w:val="0"/>
          <w:rtl/>
        </w:rPr>
        <w:t xml:space="preserve"> ו</w:t>
      </w:r>
      <w:r w:rsidR="000F7C34">
        <w:rPr>
          <w:rFonts w:ascii="Arial" w:hAnsi="Arial" w:hint="cs"/>
          <w:noProof w:val="0"/>
          <w:rtl/>
        </w:rPr>
        <w:t>אלמונית</w:t>
      </w:r>
      <w:r>
        <w:rPr>
          <w:rFonts w:ascii="Arial" w:hAnsi="Arial" w:hint="cs"/>
          <w:noProof w:val="0"/>
          <w:rtl/>
        </w:rPr>
        <w:t xml:space="preserve">, כי </w:t>
      </w:r>
      <w:r>
        <w:rPr>
          <w:rFonts w:ascii="Arial" w:hAnsi="Arial" w:hint="cs"/>
          <w:b/>
          <w:bCs/>
          <w:noProof w:val="0"/>
          <w:rtl/>
        </w:rPr>
        <w:t xml:space="preserve">"בכל מחלוקת עתידית ביניהם ובכל דבר וענין נשוא הסכם זה ו/או בכלל ממנים הם את עוה"ד </w:t>
      </w:r>
      <w:r w:rsidR="000F7C34">
        <w:rPr>
          <w:rFonts w:ascii="Arial" w:hAnsi="Arial" w:hint="cs"/>
          <w:b/>
          <w:bCs/>
          <w:noProof w:val="0"/>
          <w:rtl/>
        </w:rPr>
        <w:t>----</w:t>
      </w:r>
      <w:r>
        <w:rPr>
          <w:rFonts w:ascii="Arial" w:hAnsi="Arial" w:hint="cs"/>
          <w:b/>
          <w:bCs/>
          <w:noProof w:val="0"/>
          <w:rtl/>
        </w:rPr>
        <w:t xml:space="preserve"> ועו"ד </w:t>
      </w:r>
      <w:r w:rsidR="000F7C34">
        <w:rPr>
          <w:rFonts w:ascii="Arial" w:hAnsi="Arial" w:hint="cs"/>
          <w:b/>
          <w:bCs/>
          <w:noProof w:val="0"/>
          <w:rtl/>
        </w:rPr>
        <w:t>-----</w:t>
      </w:r>
      <w:r>
        <w:rPr>
          <w:rFonts w:ascii="Arial" w:hAnsi="Arial" w:hint="cs"/>
          <w:b/>
          <w:bCs/>
          <w:noProof w:val="0"/>
          <w:rtl/>
        </w:rPr>
        <w:t xml:space="preserve"> כבוררים במשותף להכרעה בכל סוגייה או מחלוקת כאמור וזאת לכל דבר וענין". </w:t>
      </w:r>
      <w:r>
        <w:rPr>
          <w:rFonts w:ascii="Arial" w:hAnsi="Arial" w:hint="cs"/>
          <w:noProof w:val="0"/>
          <w:rtl/>
        </w:rPr>
        <w:t xml:space="preserve">המחלוקות הנוכחיות הן לא בענין הנובע </w:t>
      </w:r>
      <w:r>
        <w:rPr>
          <w:rFonts w:ascii="Arial" w:hAnsi="Arial" w:hint="cs"/>
          <w:noProof w:val="0"/>
          <w:rtl/>
        </w:rPr>
        <w:lastRenderedPageBreak/>
        <w:t>מההסכם (כאמור, מר</w:t>
      </w:r>
      <w:r w:rsidR="00E66927">
        <w:rPr>
          <w:rFonts w:ascii="Arial" w:hAnsi="Arial" w:hint="cs"/>
          <w:noProof w:val="0"/>
          <w:rtl/>
        </w:rPr>
        <w:t xml:space="preserve">בית הטענות אינן נובעות מהוראות ההסכם וסוגיית העמלות והחזר הוצאות הרכב אינה מכח הוראות ההסכם שכן תקופת ההתחייבות חלפה) וממילא הטענות הן כלפי החברה ולא כלפי </w:t>
      </w:r>
      <w:r w:rsidR="000F7C34">
        <w:rPr>
          <w:rFonts w:ascii="Arial" w:hAnsi="Arial" w:hint="cs"/>
          <w:noProof w:val="0"/>
          <w:rtl/>
        </w:rPr>
        <w:t>פלוני</w:t>
      </w:r>
      <w:r w:rsidR="00E66927">
        <w:rPr>
          <w:rFonts w:ascii="Arial" w:hAnsi="Arial" w:hint="cs"/>
          <w:noProof w:val="0"/>
          <w:rtl/>
        </w:rPr>
        <w:t xml:space="preserve"> באופן אישי</w:t>
      </w:r>
      <w:r w:rsidR="006018C5">
        <w:rPr>
          <w:rFonts w:ascii="Arial" w:hAnsi="Arial" w:hint="cs"/>
          <w:noProof w:val="0"/>
          <w:rtl/>
        </w:rPr>
        <w:t xml:space="preserve">. </w:t>
      </w:r>
    </w:p>
    <w:p w:rsidR="00975099" w:rsidRDefault="00E66927" w:rsidP="001B6A63">
      <w:pPr>
        <w:pStyle w:val="ad"/>
        <w:spacing w:after="120" w:line="360" w:lineRule="auto"/>
        <w:ind w:left="567"/>
        <w:contextualSpacing w:val="0"/>
        <w:jc w:val="both"/>
        <w:rPr>
          <w:rFonts w:ascii="Arial" w:hAnsi="Arial"/>
          <w:noProof w:val="0"/>
          <w:rtl/>
        </w:rPr>
      </w:pPr>
      <w:r>
        <w:rPr>
          <w:rFonts w:ascii="Arial" w:hAnsi="Arial" w:hint="cs"/>
          <w:noProof w:val="0"/>
          <w:rtl/>
        </w:rPr>
        <w:t xml:space="preserve">לא נעלם מעיני התנאי בהסכם של הפניה לבוררות "בכל דבר וענין נשוא ההסכם </w:t>
      </w:r>
      <w:r w:rsidRPr="00E66927">
        <w:rPr>
          <w:rFonts w:ascii="Arial" w:hAnsi="Arial" w:hint="cs"/>
          <w:b/>
          <w:bCs/>
          <w:noProof w:val="0"/>
          <w:rtl/>
        </w:rPr>
        <w:t>ו/או בכלל"</w:t>
      </w:r>
      <w:r>
        <w:rPr>
          <w:rFonts w:ascii="Arial" w:hAnsi="Arial" w:hint="cs"/>
          <w:noProof w:val="0"/>
          <w:rtl/>
        </w:rPr>
        <w:t xml:space="preserve">, אולם איני סבורה שניתן להכליל תחת הוראה כללית זו כל מחלוקת בכל ענין לכל תקופת זמן </w:t>
      </w:r>
      <w:r w:rsidR="001B6A63">
        <w:rPr>
          <w:rFonts w:ascii="Arial" w:hAnsi="Arial" w:hint="cs"/>
          <w:noProof w:val="0"/>
          <w:rtl/>
        </w:rPr>
        <w:t>גם לאחר שפקע תוקף התחייבות בהתאם להסכם וגם במישור היחסים מול</w:t>
      </w:r>
      <w:r w:rsidR="001B6A63" w:rsidRPr="001B6A63">
        <w:rPr>
          <w:rFonts w:ascii="Arial" w:hAnsi="Arial" w:hint="cs"/>
          <w:noProof w:val="0"/>
          <w:rtl/>
        </w:rPr>
        <w:t xml:space="preserve"> צד ג'. </w:t>
      </w:r>
    </w:p>
    <w:p w:rsidR="00155941" w:rsidRDefault="001B6A63" w:rsidP="001B6A63">
      <w:pPr>
        <w:pStyle w:val="ad"/>
        <w:numPr>
          <w:ilvl w:val="0"/>
          <w:numId w:val="1"/>
        </w:numPr>
        <w:spacing w:after="120" w:line="360" w:lineRule="auto"/>
        <w:ind w:left="567" w:hanging="567"/>
        <w:contextualSpacing w:val="0"/>
        <w:jc w:val="both"/>
        <w:rPr>
          <w:rFonts w:ascii="Arial" w:hAnsi="Arial"/>
          <w:noProof w:val="0"/>
        </w:rPr>
      </w:pPr>
      <w:r w:rsidRPr="001B6A63">
        <w:rPr>
          <w:rFonts w:ascii="Arial" w:hAnsi="Arial" w:hint="cs"/>
          <w:noProof w:val="0"/>
          <w:rtl/>
        </w:rPr>
        <w:t xml:space="preserve">ענין נוסף </w:t>
      </w:r>
      <w:r>
        <w:rPr>
          <w:rFonts w:ascii="Arial" w:hAnsi="Arial" w:hint="cs"/>
          <w:noProof w:val="0"/>
          <w:rtl/>
        </w:rPr>
        <w:t>-</w:t>
      </w:r>
      <w:r w:rsidRPr="001B6A63">
        <w:rPr>
          <w:rFonts w:ascii="Arial" w:hAnsi="Arial" w:hint="cs"/>
          <w:noProof w:val="0"/>
          <w:rtl/>
        </w:rPr>
        <w:t xml:space="preserve"> </w:t>
      </w:r>
      <w:r w:rsidR="000F7C34">
        <w:rPr>
          <w:rFonts w:ascii="Arial" w:hAnsi="Arial" w:hint="cs"/>
          <w:noProof w:val="0"/>
          <w:rtl/>
        </w:rPr>
        <w:t>פלוני</w:t>
      </w:r>
      <w:r>
        <w:rPr>
          <w:rFonts w:ascii="Arial" w:hAnsi="Arial" w:hint="cs"/>
          <w:noProof w:val="0"/>
          <w:rtl/>
        </w:rPr>
        <w:t xml:space="preserve"> ניסה ליצור זהות בין טענות כלפי החברה לטענות כלפיו. איני סבורה שניתן לקבל הצגת דברים זו ומכוחה להכליל את הסכסוך הנוכחי כחוסה תחת הוראות ההסכם וכנדרש להתברר בבוררות מכוחו. </w:t>
      </w:r>
    </w:p>
    <w:p w:rsidR="00155941" w:rsidRDefault="001B6A63" w:rsidP="00155941">
      <w:pPr>
        <w:pStyle w:val="ad"/>
        <w:spacing w:after="120" w:line="360" w:lineRule="auto"/>
        <w:ind w:left="567"/>
        <w:contextualSpacing w:val="0"/>
        <w:jc w:val="both"/>
        <w:rPr>
          <w:rFonts w:ascii="Arial" w:hAnsi="Arial"/>
          <w:noProof w:val="0"/>
          <w:rtl/>
        </w:rPr>
      </w:pPr>
      <w:r>
        <w:rPr>
          <w:rFonts w:ascii="Arial" w:hAnsi="Arial" w:hint="cs"/>
          <w:noProof w:val="0"/>
          <w:rtl/>
        </w:rPr>
        <w:t xml:space="preserve">מלכתחילה יש קושי </w:t>
      </w:r>
      <w:r w:rsidR="00155941">
        <w:rPr>
          <w:rFonts w:ascii="Arial" w:hAnsi="Arial" w:hint="cs"/>
          <w:noProof w:val="0"/>
          <w:rtl/>
        </w:rPr>
        <w:t xml:space="preserve">מסוים </w:t>
      </w:r>
      <w:r>
        <w:rPr>
          <w:rFonts w:ascii="Arial" w:hAnsi="Arial" w:hint="cs"/>
          <w:noProof w:val="0"/>
          <w:rtl/>
        </w:rPr>
        <w:t>עם התחייבות בהסכם בין בני זוג שמשמעה הטלת חיוב על צד ג'</w:t>
      </w:r>
      <w:r w:rsidR="00155941">
        <w:rPr>
          <w:rFonts w:ascii="Arial" w:hAnsi="Arial" w:hint="cs"/>
          <w:noProof w:val="0"/>
          <w:rtl/>
        </w:rPr>
        <w:t xml:space="preserve"> מבלי שהובהרה התשתית המשפטית המאפשרת יצירת חיוב על ישות נפרדת בהסכם שהיא לא צד לו</w:t>
      </w:r>
      <w:r>
        <w:rPr>
          <w:rFonts w:ascii="Arial" w:hAnsi="Arial" w:hint="cs"/>
          <w:noProof w:val="0"/>
          <w:rtl/>
        </w:rPr>
        <w:t xml:space="preserve">. </w:t>
      </w:r>
    </w:p>
    <w:p w:rsidR="001B6A63" w:rsidRDefault="001B6A63" w:rsidP="00881C08">
      <w:pPr>
        <w:pStyle w:val="ad"/>
        <w:spacing w:after="120" w:line="360" w:lineRule="auto"/>
        <w:ind w:left="567"/>
        <w:contextualSpacing w:val="0"/>
        <w:jc w:val="both"/>
        <w:rPr>
          <w:rFonts w:ascii="Arial" w:hAnsi="Arial"/>
          <w:noProof w:val="0"/>
          <w:rtl/>
        </w:rPr>
      </w:pPr>
      <w:r>
        <w:rPr>
          <w:rFonts w:ascii="Arial" w:hAnsi="Arial" w:hint="cs"/>
          <w:noProof w:val="0"/>
          <w:rtl/>
        </w:rPr>
        <w:t xml:space="preserve">משמעות ההתחייבות בסעיף 46 להסכם היא התחייבות של בעל מניות (יתכן שדירקטור) מטעמה של החברה מבלי שבית המשפט יודע אם ההתחייבות היא בסמכות הגורם שהתחייב לה, בהתאם לנהלי החברה ועל דעתם של הגורמים הרלבנטיים. מאופן ניסוח הדברים והלך הרוח המשתקף נלמד, כי ככל הנראה </w:t>
      </w:r>
      <w:r w:rsidR="006018C5">
        <w:rPr>
          <w:rFonts w:ascii="Arial" w:hAnsi="Arial" w:hint="cs"/>
          <w:noProof w:val="0"/>
          <w:rtl/>
        </w:rPr>
        <w:t>הכוונה היתה ש</w:t>
      </w:r>
      <w:r w:rsidR="000F7C34">
        <w:rPr>
          <w:rFonts w:ascii="Arial" w:hAnsi="Arial" w:hint="cs"/>
          <w:noProof w:val="0"/>
          <w:rtl/>
        </w:rPr>
        <w:t>פלוני</w:t>
      </w:r>
      <w:r w:rsidR="006018C5">
        <w:rPr>
          <w:rFonts w:ascii="Arial" w:hAnsi="Arial" w:hint="cs"/>
          <w:noProof w:val="0"/>
          <w:rtl/>
        </w:rPr>
        <w:t xml:space="preserve"> יפעל</w:t>
      </w:r>
      <w:r>
        <w:rPr>
          <w:rFonts w:ascii="Arial" w:hAnsi="Arial" w:hint="cs"/>
          <w:noProof w:val="0"/>
          <w:rtl/>
        </w:rPr>
        <w:t xml:space="preserve"> </w:t>
      </w:r>
      <w:r w:rsidR="006018C5">
        <w:rPr>
          <w:rFonts w:ascii="Arial" w:hAnsi="Arial" w:hint="cs"/>
          <w:noProof w:val="0"/>
          <w:rtl/>
        </w:rPr>
        <w:t xml:space="preserve">- </w:t>
      </w:r>
      <w:r>
        <w:rPr>
          <w:rFonts w:ascii="Arial" w:hAnsi="Arial" w:hint="cs"/>
          <w:noProof w:val="0"/>
          <w:rtl/>
        </w:rPr>
        <w:t xml:space="preserve">במסגרת תפקידו כנושא משרה בחברה </w:t>
      </w:r>
      <w:r w:rsidR="00881C08">
        <w:rPr>
          <w:rFonts w:ascii="Arial" w:hAnsi="Arial" w:hint="cs"/>
          <w:noProof w:val="0"/>
          <w:rtl/>
        </w:rPr>
        <w:t>-</w:t>
      </w:r>
      <w:r>
        <w:rPr>
          <w:rFonts w:ascii="Arial" w:hAnsi="Arial" w:hint="cs"/>
          <w:noProof w:val="0"/>
          <w:rtl/>
        </w:rPr>
        <w:t xml:space="preserve"> </w:t>
      </w:r>
      <w:r w:rsidR="006018C5">
        <w:rPr>
          <w:rFonts w:ascii="Arial" w:hAnsi="Arial" w:hint="cs"/>
          <w:noProof w:val="0"/>
          <w:rtl/>
        </w:rPr>
        <w:t xml:space="preserve">כדי </w:t>
      </w:r>
      <w:r>
        <w:rPr>
          <w:rFonts w:ascii="Arial" w:hAnsi="Arial" w:hint="cs"/>
          <w:noProof w:val="0"/>
          <w:rtl/>
        </w:rPr>
        <w:t xml:space="preserve">לוודא את ההעסקה </w:t>
      </w:r>
      <w:r w:rsidR="006018C5">
        <w:rPr>
          <w:rFonts w:ascii="Arial" w:hAnsi="Arial" w:hint="cs"/>
          <w:noProof w:val="0"/>
          <w:rtl/>
        </w:rPr>
        <w:t xml:space="preserve">של </w:t>
      </w:r>
      <w:r w:rsidR="000F7C34">
        <w:rPr>
          <w:rFonts w:ascii="Arial" w:hAnsi="Arial" w:hint="cs"/>
          <w:noProof w:val="0"/>
          <w:rtl/>
        </w:rPr>
        <w:t>אלמונית</w:t>
      </w:r>
      <w:r w:rsidR="006018C5">
        <w:rPr>
          <w:rFonts w:ascii="Arial" w:hAnsi="Arial" w:hint="cs"/>
          <w:noProof w:val="0"/>
          <w:rtl/>
        </w:rPr>
        <w:t xml:space="preserve"> </w:t>
      </w:r>
      <w:r>
        <w:rPr>
          <w:rFonts w:ascii="Arial" w:hAnsi="Arial" w:hint="cs"/>
          <w:noProof w:val="0"/>
          <w:rtl/>
        </w:rPr>
        <w:t xml:space="preserve">על ידי החברה בתקופה ובתנאים המוסכמים. </w:t>
      </w:r>
      <w:r w:rsidR="00155941">
        <w:rPr>
          <w:rFonts w:ascii="Arial" w:hAnsi="Arial" w:hint="cs"/>
          <w:noProof w:val="0"/>
          <w:rtl/>
        </w:rPr>
        <w:t xml:space="preserve">גם אם זו מסגרת ההתחייבות וכוונת הצדדים, </w:t>
      </w:r>
      <w:r>
        <w:rPr>
          <w:rFonts w:ascii="Arial" w:hAnsi="Arial" w:hint="cs"/>
          <w:noProof w:val="0"/>
          <w:rtl/>
        </w:rPr>
        <w:t xml:space="preserve">אישור ההסכם על ידי בית המשפט מחייב את הצדדים </w:t>
      </w:r>
      <w:r w:rsidR="00155941">
        <w:rPr>
          <w:rFonts w:ascii="Arial" w:hAnsi="Arial" w:hint="cs"/>
          <w:noProof w:val="0"/>
          <w:rtl/>
        </w:rPr>
        <w:t xml:space="preserve">להסכם בלבד.  </w:t>
      </w:r>
    </w:p>
    <w:p w:rsidR="007A0F0A" w:rsidRPr="001B6A63" w:rsidRDefault="007A0F0A" w:rsidP="006018C5">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כפי שנאמר בפתח הדיון בפרק זה, אכן סילוק על הסף ננקט במקרים קיצוניים וחריגים ובמקרה בו יש אפילו קצה קצהו של סיכוי של קבלת טענות התובע, יש לתת לו את יומו. אולם במקרה כאן דרישת התובע להפניה לבוררות אינה נובעת מהמסגרת המשפטית עליה הוא נסמך (ההסכם); הסוגיות העומדות לבירור אינן </w:t>
      </w:r>
      <w:r w:rsidR="00E148B8">
        <w:rPr>
          <w:rFonts w:ascii="Arial" w:hAnsi="Arial" w:hint="cs"/>
          <w:noProof w:val="0"/>
          <w:rtl/>
        </w:rPr>
        <w:t>נובעות</w:t>
      </w:r>
      <w:r w:rsidR="00953D17">
        <w:rPr>
          <w:rFonts w:ascii="Arial" w:hAnsi="Arial" w:hint="cs"/>
          <w:noProof w:val="0"/>
          <w:rtl/>
        </w:rPr>
        <w:t xml:space="preserve"> מההתחייבות בהסכם; הן אינן מופנות כלפי התובע </w:t>
      </w:r>
      <w:r>
        <w:rPr>
          <w:rFonts w:ascii="Arial" w:hAnsi="Arial" w:hint="cs"/>
          <w:noProof w:val="0"/>
          <w:rtl/>
        </w:rPr>
        <w:t xml:space="preserve">באופן אישי אלא כלפי החברה ומעל הכל </w:t>
      </w:r>
      <w:r w:rsidR="006018C5">
        <w:rPr>
          <w:rFonts w:ascii="Arial" w:hAnsi="Arial" w:hint="cs"/>
          <w:noProof w:val="0"/>
          <w:rtl/>
        </w:rPr>
        <w:t>-</w:t>
      </w:r>
      <w:r>
        <w:rPr>
          <w:rFonts w:ascii="Arial" w:hAnsi="Arial" w:hint="cs"/>
          <w:noProof w:val="0"/>
          <w:rtl/>
        </w:rPr>
        <w:t xml:space="preserve"> הנושאים לבירור אינם בסמכות בית משפט זה. </w:t>
      </w:r>
    </w:p>
    <w:p w:rsidR="004936B6" w:rsidRPr="00B07502" w:rsidRDefault="001546F0" w:rsidP="004936B6">
      <w:pPr>
        <w:pStyle w:val="ad"/>
        <w:numPr>
          <w:ilvl w:val="0"/>
          <w:numId w:val="1"/>
        </w:numPr>
        <w:spacing w:after="120" w:line="360" w:lineRule="auto"/>
        <w:ind w:left="567" w:hanging="567"/>
        <w:contextualSpacing w:val="0"/>
        <w:jc w:val="both"/>
        <w:rPr>
          <w:rFonts w:ascii="Arial" w:hAnsi="Arial"/>
          <w:noProof w:val="0"/>
        </w:rPr>
      </w:pPr>
      <w:r w:rsidRPr="00B07502">
        <w:rPr>
          <w:rFonts w:ascii="Arial" w:hAnsi="Arial" w:hint="cs"/>
          <w:noProof w:val="0"/>
          <w:rtl/>
        </w:rPr>
        <w:t xml:space="preserve">לאור האמור ובסיכום הדברים </w:t>
      </w:r>
      <w:r w:rsidR="004936B6" w:rsidRPr="00B07502">
        <w:rPr>
          <w:rFonts w:ascii="Arial" w:hAnsi="Arial" w:hint="cs"/>
          <w:noProof w:val="0"/>
          <w:rtl/>
        </w:rPr>
        <w:t>-</w:t>
      </w:r>
      <w:r w:rsidRPr="00B07502">
        <w:rPr>
          <w:rFonts w:ascii="Arial" w:hAnsi="Arial" w:hint="cs"/>
          <w:noProof w:val="0"/>
          <w:rtl/>
        </w:rPr>
        <w:t xml:space="preserve"> </w:t>
      </w:r>
    </w:p>
    <w:p w:rsidR="009A457A" w:rsidRDefault="001546F0" w:rsidP="004936B6">
      <w:pPr>
        <w:pStyle w:val="ad"/>
        <w:spacing w:after="120" w:line="360" w:lineRule="auto"/>
        <w:ind w:left="567"/>
        <w:contextualSpacing w:val="0"/>
        <w:jc w:val="both"/>
        <w:rPr>
          <w:rFonts w:ascii="Arial" w:hAnsi="Arial"/>
          <w:noProof w:val="0"/>
          <w:rtl/>
        </w:rPr>
      </w:pPr>
      <w:r w:rsidRPr="00B07502">
        <w:rPr>
          <w:rFonts w:ascii="Arial" w:hAnsi="Arial" w:hint="cs"/>
          <w:noProof w:val="0"/>
          <w:rtl/>
        </w:rPr>
        <w:t>ה</w:t>
      </w:r>
      <w:r w:rsidR="004936B6" w:rsidRPr="00B07502">
        <w:rPr>
          <w:rFonts w:ascii="Arial" w:hAnsi="Arial" w:hint="cs"/>
          <w:noProof w:val="0"/>
          <w:rtl/>
        </w:rPr>
        <w:t>מחלוקות בין הצדדים ו</w:t>
      </w:r>
      <w:r w:rsidRPr="00B07502">
        <w:rPr>
          <w:rFonts w:ascii="Arial" w:hAnsi="Arial" w:hint="cs"/>
          <w:noProof w:val="0"/>
          <w:rtl/>
        </w:rPr>
        <w:t xml:space="preserve">טענות </w:t>
      </w:r>
      <w:r w:rsidR="004936B6" w:rsidRPr="00B07502">
        <w:rPr>
          <w:rFonts w:ascii="Arial" w:hAnsi="Arial" w:hint="cs"/>
          <w:noProof w:val="0"/>
          <w:rtl/>
        </w:rPr>
        <w:t xml:space="preserve">הנוכחיות הן טענות בתחום דיני העבודה ובמישור היחסים בין החברה, משכך הוראות ההסכם אינן חלות עליהן, הן אינן נובעות מההסכם והן אינן נכללות בהתחייבות בדבר בירור מחלוקות בהליכי בוררות. </w:t>
      </w:r>
    </w:p>
    <w:p w:rsidR="006018C5" w:rsidRDefault="004936B6" w:rsidP="004936B6">
      <w:pPr>
        <w:pStyle w:val="ad"/>
        <w:spacing w:after="120" w:line="360" w:lineRule="auto"/>
        <w:ind w:left="567"/>
        <w:contextualSpacing w:val="0"/>
        <w:jc w:val="both"/>
        <w:rPr>
          <w:rFonts w:ascii="Arial" w:hAnsi="Arial"/>
          <w:noProof w:val="0"/>
          <w:rtl/>
        </w:rPr>
      </w:pPr>
      <w:r w:rsidRPr="00B07502">
        <w:rPr>
          <w:rFonts w:ascii="Arial" w:hAnsi="Arial" w:hint="cs"/>
          <w:noProof w:val="0"/>
          <w:rtl/>
        </w:rPr>
        <w:lastRenderedPageBreak/>
        <w:t xml:space="preserve">מדובר בטענות שנובעות מהעסקת </w:t>
      </w:r>
      <w:r w:rsidR="000F7C34">
        <w:rPr>
          <w:rFonts w:ascii="Arial" w:hAnsi="Arial" w:hint="cs"/>
          <w:noProof w:val="0"/>
          <w:rtl/>
        </w:rPr>
        <w:t>אלמונית</w:t>
      </w:r>
      <w:r w:rsidRPr="00B07502">
        <w:rPr>
          <w:rFonts w:ascii="Arial" w:hAnsi="Arial" w:hint="cs"/>
          <w:noProof w:val="0"/>
          <w:rtl/>
        </w:rPr>
        <w:t xml:space="preserve"> על ידי החברה, בענין תנאי ההעסקה ואופן סיומה (מצידה של </w:t>
      </w:r>
      <w:r w:rsidR="000F7C34">
        <w:rPr>
          <w:rFonts w:ascii="Arial" w:hAnsi="Arial" w:hint="cs"/>
          <w:noProof w:val="0"/>
          <w:rtl/>
        </w:rPr>
        <w:t>אלמונית</w:t>
      </w:r>
      <w:r w:rsidRPr="00B07502">
        <w:rPr>
          <w:rFonts w:ascii="Arial" w:hAnsi="Arial" w:hint="cs"/>
          <w:noProof w:val="0"/>
          <w:rtl/>
        </w:rPr>
        <w:t xml:space="preserve">) ובענין תפקודה והפרת חובותיה כעובדת (מצידה של החברה). </w:t>
      </w:r>
    </w:p>
    <w:p w:rsidR="009A457A" w:rsidRDefault="004936B6" w:rsidP="004936B6">
      <w:pPr>
        <w:pStyle w:val="ad"/>
        <w:spacing w:after="120" w:line="360" w:lineRule="auto"/>
        <w:ind w:left="567"/>
        <w:contextualSpacing w:val="0"/>
        <w:jc w:val="both"/>
        <w:rPr>
          <w:rFonts w:ascii="Arial" w:hAnsi="Arial"/>
          <w:noProof w:val="0"/>
          <w:rtl/>
        </w:rPr>
      </w:pPr>
      <w:r w:rsidRPr="00B07502">
        <w:rPr>
          <w:rFonts w:ascii="Arial" w:hAnsi="Arial" w:hint="cs"/>
          <w:noProof w:val="0"/>
          <w:rtl/>
        </w:rPr>
        <w:t>לאור האמור, אין תשתית משפטית המצדיקה העברת הסכסוך לדיו</w:t>
      </w:r>
      <w:r w:rsidR="009A457A">
        <w:rPr>
          <w:rFonts w:ascii="Arial" w:hAnsi="Arial" w:hint="cs"/>
          <w:noProof w:val="0"/>
          <w:rtl/>
        </w:rPr>
        <w:t>ן בפני בוררים מכח הוראות ההסכם.</w:t>
      </w:r>
    </w:p>
    <w:p w:rsidR="004936B6" w:rsidRPr="00B07502" w:rsidRDefault="009A457A" w:rsidP="00BE788A">
      <w:pPr>
        <w:pStyle w:val="ad"/>
        <w:spacing w:after="120" w:line="360" w:lineRule="auto"/>
        <w:ind w:left="567"/>
        <w:contextualSpacing w:val="0"/>
        <w:jc w:val="both"/>
        <w:rPr>
          <w:rFonts w:ascii="Arial" w:hAnsi="Arial"/>
          <w:noProof w:val="0"/>
        </w:rPr>
      </w:pPr>
      <w:r>
        <w:rPr>
          <w:rFonts w:ascii="Arial" w:hAnsi="Arial" w:hint="cs"/>
          <w:noProof w:val="0"/>
          <w:rtl/>
        </w:rPr>
        <w:t xml:space="preserve">נוסף על כך, </w:t>
      </w:r>
      <w:r w:rsidR="004936B6" w:rsidRPr="00B07502">
        <w:rPr>
          <w:rFonts w:ascii="Arial" w:hAnsi="Arial" w:hint="cs"/>
          <w:noProof w:val="0"/>
          <w:rtl/>
        </w:rPr>
        <w:t xml:space="preserve">המשמעות של קבלת בקשתו של </w:t>
      </w:r>
      <w:r w:rsidR="000F7C34">
        <w:rPr>
          <w:rFonts w:ascii="Arial" w:hAnsi="Arial" w:hint="cs"/>
          <w:noProof w:val="0"/>
          <w:rtl/>
        </w:rPr>
        <w:t>פלוני</w:t>
      </w:r>
      <w:r w:rsidR="004936B6" w:rsidRPr="00B07502">
        <w:rPr>
          <w:rFonts w:ascii="Arial" w:hAnsi="Arial" w:hint="cs"/>
          <w:noProof w:val="0"/>
          <w:rtl/>
        </w:rPr>
        <w:t xml:space="preserve"> היא </w:t>
      </w:r>
      <w:r>
        <w:rPr>
          <w:rFonts w:ascii="Arial" w:hAnsi="Arial" w:hint="cs"/>
          <w:noProof w:val="0"/>
          <w:rtl/>
        </w:rPr>
        <w:t xml:space="preserve">בפועל, </w:t>
      </w:r>
      <w:r w:rsidR="004936B6" w:rsidRPr="00B07502">
        <w:rPr>
          <w:rFonts w:ascii="Arial" w:hAnsi="Arial" w:hint="cs"/>
          <w:noProof w:val="0"/>
          <w:rtl/>
        </w:rPr>
        <w:t>כפיית הליך בור</w:t>
      </w:r>
      <w:r>
        <w:rPr>
          <w:rFonts w:ascii="Arial" w:hAnsi="Arial" w:hint="cs"/>
          <w:noProof w:val="0"/>
          <w:rtl/>
        </w:rPr>
        <w:t xml:space="preserve">רות של </w:t>
      </w:r>
      <w:r w:rsidR="000F7C34">
        <w:rPr>
          <w:rFonts w:ascii="Arial" w:hAnsi="Arial" w:hint="cs"/>
          <w:noProof w:val="0"/>
          <w:rtl/>
        </w:rPr>
        <w:t>אלמונית</w:t>
      </w:r>
      <w:r>
        <w:rPr>
          <w:rFonts w:ascii="Arial" w:hAnsi="Arial" w:hint="cs"/>
          <w:noProof w:val="0"/>
          <w:rtl/>
        </w:rPr>
        <w:t xml:space="preserve"> מול</w:t>
      </w:r>
      <w:r w:rsidR="004936B6" w:rsidRPr="00B07502">
        <w:rPr>
          <w:rFonts w:ascii="Arial" w:hAnsi="Arial" w:hint="cs"/>
          <w:noProof w:val="0"/>
          <w:rtl/>
        </w:rPr>
        <w:t xml:space="preserve"> החברה מבלי שקיימת הסכמה או התחייבות לניהול הליך בוררות </w:t>
      </w:r>
      <w:r w:rsidR="00BE788A">
        <w:rPr>
          <w:rFonts w:ascii="Arial" w:hAnsi="Arial" w:hint="cs"/>
          <w:noProof w:val="0"/>
          <w:rtl/>
        </w:rPr>
        <w:t xml:space="preserve">במישור </w:t>
      </w:r>
      <w:r w:rsidR="004936B6" w:rsidRPr="00B07502">
        <w:rPr>
          <w:rFonts w:ascii="Arial" w:hAnsi="Arial" w:hint="cs"/>
          <w:noProof w:val="0"/>
          <w:rtl/>
        </w:rPr>
        <w:t xml:space="preserve">יחסים </w:t>
      </w:r>
      <w:r w:rsidR="00BE788A">
        <w:rPr>
          <w:rFonts w:ascii="Arial" w:hAnsi="Arial" w:hint="cs"/>
          <w:noProof w:val="0"/>
          <w:rtl/>
        </w:rPr>
        <w:t>אלה</w:t>
      </w:r>
      <w:r w:rsidR="004936B6" w:rsidRPr="00B07502">
        <w:rPr>
          <w:rFonts w:ascii="Arial" w:hAnsi="Arial" w:hint="cs"/>
          <w:noProof w:val="0"/>
          <w:rtl/>
        </w:rPr>
        <w:t xml:space="preserve">. </w:t>
      </w:r>
    </w:p>
    <w:p w:rsidR="00B07502" w:rsidRDefault="004936B6" w:rsidP="00FB184B">
      <w:pPr>
        <w:pStyle w:val="ad"/>
        <w:spacing w:after="120" w:line="360" w:lineRule="auto"/>
        <w:ind w:left="567"/>
        <w:contextualSpacing w:val="0"/>
        <w:jc w:val="both"/>
        <w:rPr>
          <w:rFonts w:ascii="Arial" w:hAnsi="Arial"/>
          <w:noProof w:val="0"/>
          <w:rtl/>
        </w:rPr>
      </w:pPr>
      <w:r w:rsidRPr="00B07502">
        <w:rPr>
          <w:rFonts w:ascii="Arial" w:hAnsi="Arial" w:hint="cs"/>
          <w:noProof w:val="0"/>
          <w:rtl/>
        </w:rPr>
        <w:t>משכך</w:t>
      </w:r>
      <w:r w:rsidR="009A457A">
        <w:rPr>
          <w:rFonts w:ascii="Arial" w:hAnsi="Arial" w:hint="cs"/>
          <w:noProof w:val="0"/>
          <w:rtl/>
        </w:rPr>
        <w:t>,</w:t>
      </w:r>
      <w:r w:rsidRPr="00B07502">
        <w:rPr>
          <w:rFonts w:ascii="Arial" w:hAnsi="Arial" w:hint="cs"/>
          <w:noProof w:val="0"/>
          <w:rtl/>
        </w:rPr>
        <w:t xml:space="preserve"> </w:t>
      </w:r>
      <w:r w:rsidR="00B07502" w:rsidRPr="00B07502">
        <w:rPr>
          <w:rFonts w:ascii="Arial" w:hAnsi="Arial" w:hint="cs"/>
          <w:noProof w:val="0"/>
          <w:rtl/>
        </w:rPr>
        <w:t xml:space="preserve">בהעדר סמכות לדון בטענות שבפי הצדדים; מאחר </w:t>
      </w:r>
      <w:r w:rsidR="00FB184B">
        <w:rPr>
          <w:rFonts w:ascii="Arial" w:hAnsi="Arial" w:hint="cs"/>
          <w:noProof w:val="0"/>
          <w:rtl/>
        </w:rPr>
        <w:t>ש</w:t>
      </w:r>
      <w:r w:rsidR="00B07502" w:rsidRPr="00B07502">
        <w:rPr>
          <w:rFonts w:ascii="Arial" w:hAnsi="Arial" w:hint="cs"/>
          <w:noProof w:val="0"/>
          <w:rtl/>
        </w:rPr>
        <w:t xml:space="preserve">הטענות אינן מכח הוראות ההסכם (וגם אילו היו </w:t>
      </w:r>
      <w:r w:rsidR="00BE788A">
        <w:rPr>
          <w:rFonts w:ascii="Arial" w:hAnsi="Arial" w:hint="cs"/>
          <w:noProof w:val="0"/>
          <w:rtl/>
        </w:rPr>
        <w:t>-</w:t>
      </w:r>
      <w:r w:rsidR="00B07502" w:rsidRPr="00B07502">
        <w:rPr>
          <w:rFonts w:ascii="Arial" w:hAnsi="Arial" w:hint="cs"/>
          <w:noProof w:val="0"/>
          <w:rtl/>
        </w:rPr>
        <w:t xml:space="preserve"> הדבר אינו בסמכות בית משפט זה); מאחר </w:t>
      </w:r>
      <w:r w:rsidR="00FB184B">
        <w:rPr>
          <w:rFonts w:ascii="Arial" w:hAnsi="Arial" w:hint="cs"/>
          <w:noProof w:val="0"/>
          <w:rtl/>
        </w:rPr>
        <w:t>ש</w:t>
      </w:r>
      <w:r w:rsidR="00B07502" w:rsidRPr="00B07502">
        <w:rPr>
          <w:rFonts w:ascii="Arial" w:hAnsi="Arial" w:hint="cs"/>
          <w:noProof w:val="0"/>
          <w:rtl/>
        </w:rPr>
        <w:t xml:space="preserve">הטענות נוגעות להעסקתה של </w:t>
      </w:r>
      <w:r w:rsidR="000F7C34">
        <w:rPr>
          <w:rFonts w:ascii="Arial" w:hAnsi="Arial" w:hint="cs"/>
          <w:noProof w:val="0"/>
          <w:rtl/>
        </w:rPr>
        <w:t>אלמונית</w:t>
      </w:r>
      <w:r w:rsidR="00B07502" w:rsidRPr="00B07502">
        <w:rPr>
          <w:rFonts w:ascii="Arial" w:hAnsi="Arial" w:hint="cs"/>
          <w:noProof w:val="0"/>
          <w:rtl/>
        </w:rPr>
        <w:t xml:space="preserve"> והן במישור היחסים מול המעסיקה</w:t>
      </w:r>
      <w:r w:rsidR="00BE788A">
        <w:rPr>
          <w:rFonts w:ascii="Arial" w:hAnsi="Arial" w:hint="cs"/>
          <w:noProof w:val="0"/>
          <w:rtl/>
        </w:rPr>
        <w:t>,</w:t>
      </w:r>
      <w:r w:rsidR="00B07502" w:rsidRPr="00B07502">
        <w:rPr>
          <w:rFonts w:ascii="Arial" w:hAnsi="Arial" w:hint="cs"/>
          <w:noProof w:val="0"/>
          <w:rtl/>
        </w:rPr>
        <w:t xml:space="preserve"> החברה</w:t>
      </w:r>
      <w:r w:rsidR="00BE788A">
        <w:rPr>
          <w:rFonts w:ascii="Arial" w:hAnsi="Arial" w:hint="cs"/>
          <w:noProof w:val="0"/>
          <w:rtl/>
        </w:rPr>
        <w:t>,</w:t>
      </w:r>
      <w:r w:rsidR="00B07502" w:rsidRPr="00B07502">
        <w:rPr>
          <w:rFonts w:ascii="Arial" w:hAnsi="Arial" w:hint="cs"/>
          <w:noProof w:val="0"/>
          <w:rtl/>
        </w:rPr>
        <w:t xml:space="preserve"> ומאחר </w:t>
      </w:r>
      <w:r w:rsidR="00FB184B">
        <w:rPr>
          <w:rFonts w:ascii="Arial" w:hAnsi="Arial" w:hint="cs"/>
          <w:noProof w:val="0"/>
          <w:rtl/>
        </w:rPr>
        <w:t>ש</w:t>
      </w:r>
      <w:r w:rsidR="00B07502" w:rsidRPr="00B07502">
        <w:rPr>
          <w:rFonts w:ascii="Arial" w:hAnsi="Arial" w:hint="cs"/>
          <w:noProof w:val="0"/>
          <w:rtl/>
        </w:rPr>
        <w:t xml:space="preserve">לא מדובר בטענות שנוגעות לאכיפת חיוב בהסכם או הפרה שלו אלא ביחס להתנהלות מאוחרת, משך שנים, לאחר שנחתם ההסכם ובחלוף תקופת ההתחייבות </w:t>
      </w:r>
      <w:r w:rsidR="00BE788A">
        <w:rPr>
          <w:rFonts w:ascii="Arial" w:hAnsi="Arial" w:hint="cs"/>
          <w:noProof w:val="0"/>
          <w:rtl/>
        </w:rPr>
        <w:t>-</w:t>
      </w:r>
      <w:r w:rsidR="00B07502" w:rsidRPr="00B07502">
        <w:rPr>
          <w:rFonts w:ascii="Arial" w:hAnsi="Arial" w:hint="cs"/>
          <w:noProof w:val="0"/>
          <w:rtl/>
        </w:rPr>
        <w:t xml:space="preserve"> </w:t>
      </w:r>
      <w:r w:rsidR="00B07502" w:rsidRPr="00FB184B">
        <w:rPr>
          <w:rFonts w:ascii="Arial" w:hAnsi="Arial" w:hint="cs"/>
          <w:b/>
          <w:bCs/>
          <w:noProof w:val="0"/>
          <w:rtl/>
        </w:rPr>
        <w:t>אני מורה על מחיקת התביעה</w:t>
      </w:r>
      <w:r w:rsidR="00B07502" w:rsidRPr="00B07502">
        <w:rPr>
          <w:rFonts w:ascii="Arial" w:hAnsi="Arial" w:hint="cs"/>
          <w:noProof w:val="0"/>
          <w:rtl/>
        </w:rPr>
        <w:t xml:space="preserve">. </w:t>
      </w:r>
    </w:p>
    <w:p w:rsidR="00B07502" w:rsidRDefault="00B07502" w:rsidP="00FB184B">
      <w:pPr>
        <w:pStyle w:val="ad"/>
        <w:numPr>
          <w:ilvl w:val="0"/>
          <w:numId w:val="1"/>
        </w:numPr>
        <w:spacing w:after="120" w:line="360" w:lineRule="auto"/>
        <w:ind w:left="567" w:hanging="567"/>
        <w:contextualSpacing w:val="0"/>
        <w:jc w:val="both"/>
        <w:rPr>
          <w:rFonts w:ascii="Arial" w:hAnsi="Arial"/>
          <w:noProof w:val="0"/>
          <w:rtl/>
        </w:rPr>
      </w:pPr>
      <w:r>
        <w:rPr>
          <w:rFonts w:ascii="Arial" w:hAnsi="Arial" w:hint="cs"/>
          <w:noProof w:val="0"/>
          <w:rtl/>
        </w:rPr>
        <w:t>לאחר ששקלתי את היקף העבודה שהושקע בהגשת הבקש</w:t>
      </w:r>
      <w:r w:rsidR="009A457A">
        <w:rPr>
          <w:rFonts w:ascii="Arial" w:hAnsi="Arial" w:hint="cs"/>
          <w:noProof w:val="0"/>
          <w:rtl/>
        </w:rPr>
        <w:t xml:space="preserve">ות לסילוק על הסף; לאחר ששקלתי את טיבן של הטענות שבפי </w:t>
      </w:r>
      <w:r w:rsidR="000F7C34">
        <w:rPr>
          <w:rFonts w:ascii="Arial" w:hAnsi="Arial" w:hint="cs"/>
          <w:noProof w:val="0"/>
          <w:rtl/>
        </w:rPr>
        <w:t>פלוני</w:t>
      </w:r>
      <w:r w:rsidR="009A457A">
        <w:rPr>
          <w:rFonts w:ascii="Arial" w:hAnsi="Arial" w:hint="cs"/>
          <w:noProof w:val="0"/>
          <w:rtl/>
        </w:rPr>
        <w:t xml:space="preserve">; מאחר שאני סבורה שיש ממש בטענת </w:t>
      </w:r>
      <w:r w:rsidR="000F7C34">
        <w:rPr>
          <w:rFonts w:ascii="Arial" w:hAnsi="Arial" w:hint="cs"/>
          <w:noProof w:val="0"/>
          <w:rtl/>
        </w:rPr>
        <w:t>אלמונית</w:t>
      </w:r>
      <w:r w:rsidR="009A457A">
        <w:rPr>
          <w:rFonts w:ascii="Arial" w:hAnsi="Arial" w:hint="cs"/>
          <w:noProof w:val="0"/>
          <w:rtl/>
        </w:rPr>
        <w:t xml:space="preserve"> בדבר תכלית הגשת הבקשה כאן תחת בירור ענייני של טענות במישור דיני העבודה; ובשים לב לקושי הנובע מהליך לאכיפת תנאי מהוראות ההסכם (בדבר עצם קיום בוררות) בד בבד עם בקשה לשינוי תנאי מהוראות ההסכם (בדבר זהות הבוררים המוסכמים) </w:t>
      </w:r>
      <w:r w:rsidR="00FB184B">
        <w:rPr>
          <w:rFonts w:ascii="Arial" w:hAnsi="Arial" w:hint="cs"/>
          <w:noProof w:val="0"/>
          <w:rtl/>
        </w:rPr>
        <w:t>-</w:t>
      </w:r>
      <w:r w:rsidR="009A457A">
        <w:rPr>
          <w:rFonts w:ascii="Arial" w:hAnsi="Arial" w:hint="cs"/>
          <w:noProof w:val="0"/>
          <w:rtl/>
        </w:rPr>
        <w:t xml:space="preserve"> אני מחייבת את התובע, </w:t>
      </w:r>
      <w:r w:rsidR="000F7C34">
        <w:rPr>
          <w:rFonts w:ascii="Arial" w:hAnsi="Arial" w:hint="cs"/>
          <w:noProof w:val="0"/>
          <w:rtl/>
        </w:rPr>
        <w:t>פלוני</w:t>
      </w:r>
      <w:r w:rsidR="009A457A">
        <w:rPr>
          <w:rFonts w:ascii="Arial" w:hAnsi="Arial" w:hint="cs"/>
          <w:noProof w:val="0"/>
          <w:rtl/>
        </w:rPr>
        <w:t xml:space="preserve">, בהוצאותיה של הנתבעת 1 בסך 12,500 </w:t>
      </w:r>
      <w:r w:rsidR="00FB184B">
        <w:rPr>
          <w:rFonts w:ascii="Arial" w:hAnsi="Arial" w:hint="cs"/>
          <w:noProof w:val="0"/>
          <w:rtl/>
        </w:rPr>
        <w:t>ש"ח</w:t>
      </w:r>
      <w:r w:rsidR="009A457A">
        <w:rPr>
          <w:rFonts w:ascii="Arial" w:hAnsi="Arial" w:hint="cs"/>
          <w:noProof w:val="0"/>
          <w:rtl/>
        </w:rPr>
        <w:t xml:space="preserve"> ובהוצאותיו של הנתבע 2 בסך 3,500 </w:t>
      </w:r>
      <w:r w:rsidR="00FB184B">
        <w:rPr>
          <w:rFonts w:ascii="Arial" w:hAnsi="Arial" w:hint="cs"/>
          <w:noProof w:val="0"/>
          <w:rtl/>
        </w:rPr>
        <w:t>ש"ח</w:t>
      </w:r>
      <w:r w:rsidR="009A457A">
        <w:rPr>
          <w:rFonts w:ascii="Arial" w:hAnsi="Arial" w:hint="cs"/>
          <w:noProof w:val="0"/>
          <w:rtl/>
        </w:rPr>
        <w:t xml:space="preserve">. </w:t>
      </w:r>
    </w:p>
    <w:p w:rsidR="009A457A" w:rsidRDefault="009A457A" w:rsidP="009A457A">
      <w:pPr>
        <w:pStyle w:val="ad"/>
        <w:numPr>
          <w:ilvl w:val="0"/>
          <w:numId w:val="1"/>
        </w:numPr>
        <w:spacing w:after="120" w:line="360" w:lineRule="auto"/>
        <w:ind w:left="567" w:hanging="567"/>
        <w:contextualSpacing w:val="0"/>
        <w:jc w:val="both"/>
        <w:rPr>
          <w:rFonts w:ascii="Arial" w:hAnsi="Arial"/>
          <w:noProof w:val="0"/>
          <w:rtl/>
        </w:rPr>
      </w:pPr>
      <w:r>
        <w:rPr>
          <w:rFonts w:ascii="Arial" w:hAnsi="Arial" w:hint="cs"/>
          <w:noProof w:val="0"/>
          <w:rtl/>
        </w:rPr>
        <w:t xml:space="preserve">אני מתירה את פרסום החלטה זו בהשמטת כל פרט מזהה. </w:t>
      </w:r>
    </w:p>
    <w:p w:rsidR="009A457A" w:rsidRPr="009A457A" w:rsidRDefault="009A457A" w:rsidP="009A457A">
      <w:pPr>
        <w:spacing w:after="120" w:line="360" w:lineRule="auto"/>
        <w:jc w:val="both"/>
        <w:rPr>
          <w:rFonts w:ascii="Arial" w:hAnsi="Arial"/>
          <w:b/>
          <w:bCs/>
          <w:noProof w:val="0"/>
          <w:u w:val="single"/>
        </w:rPr>
      </w:pPr>
      <w:r w:rsidRPr="009A457A">
        <w:rPr>
          <w:rFonts w:ascii="Arial" w:hAnsi="Arial" w:hint="cs"/>
          <w:b/>
          <w:bCs/>
          <w:noProof w:val="0"/>
          <w:u w:val="single"/>
          <w:rtl/>
        </w:rPr>
        <w:t xml:space="preserve">המזכירות תמציא לצדדים ותסגור את התיק. </w:t>
      </w:r>
    </w:p>
    <w:p w:rsidR="00694556" w:rsidRDefault="0043502B" w:rsidP="00A70081">
      <w:pPr>
        <w:spacing w:after="120"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ה' אלול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08 ספטמבר 2024</w:t>
          </w:r>
        </w:sdtContent>
      </w:sdt>
      <w:r w:rsidR="00005C8B">
        <w:rPr>
          <w:rFonts w:ascii="Arial" w:hAnsi="Arial"/>
          <w:noProof w:val="0"/>
          <w:rtl/>
        </w:rPr>
        <w:t>, בהעדר הצדדים.</w:t>
      </w:r>
    </w:p>
    <w:p w:rsidR="00C43648" w:rsidRDefault="0041541E" w:rsidP="00A70081">
      <w:pPr>
        <w:tabs>
          <w:tab w:val="left" w:pos="2553"/>
        </w:tabs>
        <w:spacing w:after="120" w:line="360" w:lineRule="auto"/>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A70081">
      <w:pPr>
        <w:tabs>
          <w:tab w:val="left" w:pos="2553"/>
        </w:tabs>
        <w:spacing w:after="120" w:line="360" w:lineRule="auto"/>
      </w:pPr>
      <w:r>
        <w:rPr>
          <w:rFonts w:hint="cs"/>
          <w:rtl/>
        </w:rPr>
        <w:tab/>
      </w:r>
      <w:r>
        <w:rPr>
          <w:rFonts w:hint="cs"/>
          <w:rtl/>
        </w:rPr>
        <w:tab/>
      </w:r>
      <w:r>
        <w:rPr>
          <w:rFonts w:hint="cs"/>
          <w:rtl/>
        </w:rPr>
        <w:tab/>
      </w:r>
      <w:r>
        <w:rPr>
          <w:rFonts w:hint="cs"/>
          <w:rtl/>
        </w:rPr>
        <w:tab/>
        <w:t xml:space="preserve">        </w:t>
      </w:r>
      <w:sdt>
        <w:sdtPr>
          <w:rPr>
            <w:rtl/>
          </w:rPr>
          <w:alias w:val="MergeField"/>
          <w:tag w:val="1237"/>
          <w:id w:val="-1113584329"/>
        </w:sdtPr>
        <w:sdtEndPr/>
        <w:sdtContent>
          <w:r w:rsidR="000F7C34">
            <w:drawing>
              <wp:inline distT="0" distB="0" distL="0" distR="0" wp14:editId="50D07946">
                <wp:extent cx="1343025" cy="752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343025" cy="752475"/>
                        </a:xfrm>
                        <a:prstGeom prst="rect">
                          <a:avLst/>
                        </a:prstGeom>
                      </pic:spPr>
                    </pic:pic>
                  </a:graphicData>
                </a:graphic>
              </wp:inline>
            </w:drawing>
          </w:r>
        </w:sdtContent>
      </w:sdt>
    </w:p>
    <w:p w:rsidR="00694556" w:rsidRDefault="00694556" w:rsidP="00A70081">
      <w:pPr>
        <w:tabs>
          <w:tab w:val="left" w:pos="2553"/>
        </w:tabs>
        <w:spacing w:after="120" w:line="360" w:lineRule="auto"/>
        <w:rPr>
          <w:rFonts w:ascii="Arial" w:hAnsi="Arial"/>
          <w:noProof w:val="0"/>
          <w:rtl/>
        </w:rPr>
      </w:pPr>
    </w:p>
    <w:sectPr w:rsidR="00694556" w:rsidSect="006C30C5">
      <w:headerReference w:type="even" r:id="rId12"/>
      <w:headerReference w:type="default" r:id="rId13"/>
      <w:footerReference w:type="even" r:id="rId14"/>
      <w:footerReference w:type="default" r:id="rId15"/>
      <w:headerReference w:type="first" r:id="rId16"/>
      <w:footerReference w:type="first" r:id="rId17"/>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541E" w:rsidRDefault="0041541E">
      <w:r>
        <w:separator/>
      </w:r>
    </w:p>
  </w:endnote>
  <w:endnote w:type="continuationSeparator" w:id="0">
    <w:p w:rsidR="0041541E" w:rsidRDefault="00415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4768" w:rsidRDefault="00A6476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A571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A571F">
      <w:rPr>
        <w:rStyle w:val="ab"/>
        <w:rtl/>
      </w:rPr>
      <w:t>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4768" w:rsidRDefault="00A6476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541E" w:rsidRDefault="0041541E">
      <w:r>
        <w:separator/>
      </w:r>
    </w:p>
  </w:footnote>
  <w:footnote w:type="continuationSeparator" w:id="0">
    <w:p w:rsidR="0041541E" w:rsidRDefault="00415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4768" w:rsidRDefault="00A6476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בחדרה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41541E" w:rsidP="000F7C34">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ת"ב</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39899-06-24</w:t>
              </w:r>
            </w:sdtContent>
          </w:sdt>
          <w:r w:rsidR="00005C8B">
            <w:rPr>
              <w:b/>
              <w:bCs/>
              <w:noProof w:val="0"/>
              <w:sz w:val="26"/>
              <w:szCs w:val="26"/>
              <w:rtl/>
            </w:rPr>
            <w:t xml:space="preserve"> </w:t>
          </w:r>
          <w:sdt>
            <w:sdtPr>
              <w:rPr>
                <w:rtl/>
              </w:rPr>
              <w:alias w:val="1172"/>
              <w:tag w:val="1172"/>
              <w:id w:val="-595170033"/>
              <w:text w:multiLine="1"/>
            </w:sdtPr>
            <w:sdtEndPr/>
            <w:sdtContent>
              <w:r w:rsidR="000F7C34">
                <w:rPr>
                  <w:rFonts w:hint="cs"/>
                  <w:b/>
                  <w:bCs/>
                  <w:noProof w:val="0"/>
                  <w:sz w:val="26"/>
                  <w:szCs w:val="26"/>
                  <w:rtl/>
                </w:rPr>
                <w:t>פלוני</w:t>
              </w:r>
              <w:r w:rsidR="00064651">
                <w:rPr>
                  <w:b/>
                  <w:bCs/>
                  <w:noProof w:val="0"/>
                  <w:sz w:val="26"/>
                  <w:szCs w:val="26"/>
                  <w:rtl/>
                </w:rPr>
                <w:t xml:space="preserve"> נ' </w:t>
              </w:r>
              <w:r w:rsidR="000F7C34">
                <w:rPr>
                  <w:rFonts w:hint="cs"/>
                  <w:b/>
                  <w:bCs/>
                  <w:noProof w:val="0"/>
                  <w:sz w:val="26"/>
                  <w:szCs w:val="26"/>
                  <w:rtl/>
                </w:rPr>
                <w:t xml:space="preserve">אלמונית </w:t>
              </w:r>
              <w:r w:rsidR="00064651">
                <w:rPr>
                  <w:b/>
                  <w:bCs/>
                  <w:noProof w:val="0"/>
                  <w:sz w:val="26"/>
                  <w:szCs w:val="26"/>
                  <w:rtl/>
                </w:rPr>
                <w:t>ואח'</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4768" w:rsidRDefault="00A6476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0429D"/>
    <w:multiLevelType w:val="hybridMultilevel"/>
    <w:tmpl w:val="E45C5148"/>
    <w:lvl w:ilvl="0" w:tplc="9F286C9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C366B91"/>
    <w:multiLevelType w:val="hybridMultilevel"/>
    <w:tmpl w:val="91F84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32298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322983&amp;lt;/CaseID&amp;gt;_x000d__x000a_        &amp;lt;CaseMonth&amp;gt;6&amp;lt;/CaseMonth&amp;gt;_x000d__x000a_        &amp;lt;CaseYear&amp;gt;2024&amp;lt;/CaseYear&amp;gt;_x000d__x000a_        &amp;lt;CaseNumber&amp;gt;39899&amp;lt;/CaseNumber&amp;gt;_x000d__x000a_        &amp;lt;NumeratorGroupID&amp;gt;1&amp;lt;/NumeratorGroupID&amp;gt;_x000d__x000a_        &amp;lt;CaseName&amp;gt;אורן נ&amp;#39; אורן ואח&amp;#39;&amp;lt;/CaseName&amp;gt;_x000d__x000a_        &amp;lt;CourtID&amp;gt;28&amp;lt;/CourtID&amp;gt;_x000d__x000a_        &amp;lt;CaseTypeID&amp;gt;10047&amp;lt;/CaseTypeID&amp;gt;_x000d__x000a_        &amp;lt;CaseInterestID&amp;gt;1&amp;lt;/CaseInterestID&amp;gt;_x000d__x000a_        &amp;lt;CaseJudgeName&amp;gt;יפעת שקדי ש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9899-06-24&amp;lt;/CaseDisplayIdentifier&amp;gt;_x000d__x000a_        &amp;lt;CaseTypeDesc&amp;gt;ת&amp;quot;ב&amp;lt;/CaseTypeDesc&amp;gt;_x000d__x000a_        &amp;lt;CourtDesc&amp;gt;שלום חדרה&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6-18T09:43:00+03:00&amp;lt;/CaseOpenDate&amp;gt;_x000d__x000a_        &amp;lt;PleaTypeID&amp;gt;5&amp;lt;/PleaTypeID&amp;gt;_x000d__x000a_        &amp;lt;CourtLevelID&amp;gt;1&amp;lt;/CourtLevelID&amp;gt;_x000d__x000a_        &amp;lt;CourtLevelCaseTypeInterestID&amp;gt;163&amp;lt;/CourtLevelCaseTypeInterestID&amp;gt;_x000d__x000a_        &amp;lt;CaseJudgeFirstName&amp;gt;יפעת&amp;lt;/CaseJudgeFirstName&amp;gt;_x000d__x000a_        &amp;lt;CaseJudgeLastName&amp;gt;שקדי שץ&amp;lt;/CaseJudgeLastName&amp;gt;_x000d__x000a_        &amp;lt;JudicalPersonID&amp;gt;034342147@GOV.IL&amp;lt;/JudicalPersonID&amp;gt;_x000d__x000a_        &amp;lt;IsJudicalPanel&amp;gt;false&amp;lt;/IsJudicalPanel&amp;gt;_x000d__x000a_        &amp;lt;CourtDisplayName&amp;gt;בית משפט לענייני משפחה בחדר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322983&amp;lt;/CaseID&amp;gt;_x000d__x000a_        &amp;lt;CaseMonth&amp;gt;6&amp;lt;/CaseMonth&amp;gt;_x000d__x000a_        &amp;lt;CaseYear&amp;gt;2024&amp;lt;/CaseYear&amp;gt;_x000d__x000a_        &amp;lt;CaseNumber&amp;gt;39899&amp;lt;/CaseNumber&amp;gt;_x000d__x000a_        &amp;lt;NumeratorGroupID&amp;gt;1&amp;lt;/NumeratorGroupID&amp;gt;_x000d__x000a_        &amp;lt;CaseName&amp;gt;אורן נ&amp;#39; אורן ואח&amp;#39;&amp;lt;/CaseName&amp;gt;_x000d__x000a_        &amp;lt;CourtID&amp;gt;28&amp;lt;/CourtID&amp;gt;_x000d__x000a_        &amp;lt;CaseTypeID&amp;gt;10047&amp;lt;/CaseTypeID&amp;gt;_x000d__x000a_        &amp;lt;CaseInterestID&amp;gt;1&amp;lt;/CaseInterestID&amp;gt;_x000d__x000a_        &amp;lt;CaseJudgeName&amp;gt;יפעת שקדי ש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9899-06-24&amp;lt;/CaseDisplayIdentifier&amp;gt;_x000d__x000a_        &amp;lt;CaseTypeDesc&amp;gt;ת&amp;quot;ב&amp;lt;/CaseTypeDesc&amp;gt;_x000d__x000a_        &amp;lt;CourtDesc&amp;gt;שלום חדרה&amp;lt;/CourtDesc&amp;gt;_x000d__x000a_        &amp;lt;CaseStageDesc&amp;gt;תיק אלקטרוני&amp;lt;/CaseStageDesc&amp;gt;_x000d__x000a_        &amp;lt;CaseNextDeterminingTask&amp;gt;151&amp;lt;/CaseNextDeterminingTask&amp;gt;_x000d__x000a_        &amp;lt;CaseOpenDate&amp;gt;2024-06-18T09:43:00+03:00&amp;lt;/CaseOpenDate&amp;gt;_x000d__x000a_        &amp;lt;PleaTypeID&amp;gt;5&amp;lt;/PleaTypeID&amp;gt;_x000d__x000a_        &amp;lt;CourtLevelID&amp;gt;1&amp;lt;/CourtLevelID&amp;gt;_x000d__x000a_        &amp;lt;CourtLevelCaseTypeInterestID&amp;gt;163&amp;lt;/CourtLevelCaseTypeInterestID&amp;gt;_x000d__x000a_        &amp;lt;CaseJudgeFirstName&amp;gt;יפעת&amp;lt;/CaseJudgeFirstName&amp;gt;_x000d__x000a_        &amp;lt;CaseJudgeLastName&amp;gt;שקדי שץ&amp;lt;/CaseJudgeLastName&amp;gt;_x000d__x000a_        &amp;lt;JudicalPersonID&amp;gt;034342147@GOV.IL&amp;lt;/JudicalPersonID&amp;gt;_x000d__x000a_        &amp;lt;IsJudicalPanel&amp;gt;false&amp;lt;/IsJudicalPanel&amp;gt;_x000d__x000a_        &amp;lt;CourtDisplayName&amp;gt;בית משפט לענייני משפחה בחדרה&amp;lt;/CourtDisplayName&amp;gt;_x000d__x000a_        &amp;lt;IsAllStartDataCollected&amp;gt;true&amp;lt;/IsAllStartDataCollected&amp;gt;_x000d__x000a_        &amp;lt;IsMainCase&amp;gt;false&amp;lt;/IsMainCase&amp;gt;_x000d__x000a_        &amp;lt;CaseDesc /&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8"/>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680358&amp;lt;/DecisionID&amp;gt;_x000d__x000a_        &amp;lt;DecisionName&amp;gt;החלטה  שניתנה ע&amp;quot;י  יפעת שקדי שץ&amp;lt;/DecisionName&amp;gt;_x000d__x000a_        &amp;lt;DecisionStatusID&amp;gt;1&amp;lt;/DecisionStatusID&amp;gt;_x000d__x000a_        &amp;lt;DecisionStatusChangeDate&amp;gt;2024-09-05T10:00:43.98+03:00&amp;lt;/DecisionStatusChangeDate&amp;gt;_x000d__x000a_        &amp;lt;DecisionSignatureDate&amp;gt;2024-09-03T15:10:43.003+03:00&amp;lt;/DecisionSignatureDate&amp;gt;_x000d__x000a_        &amp;lt;DecisionSignatureUserID&amp;gt;034342147@GOV.IL&amp;lt;/DecisionSignatureUserID&amp;gt;_x000d__x000a_        &amp;lt;DecisionCreateDate&amp;gt;2024-09-03T15:22:49.637+03:00&amp;lt;/DecisionCreateDate&amp;gt;_x000d__x000a_        &amp;lt;DecisionChangeDate&amp;gt;2024-09-05T10:00:44.99+03:00&amp;lt;/DecisionChangeDate&amp;gt;_x000d__x000a_        &amp;lt;DecisionChangeUserID&amp;gt;03434214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409979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434214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4342147@GOV.IL&amp;lt;/DecisionCreationUserID&amp;gt;_x000d__x000a_        &amp;lt;DecisionDisplayName&amp;gt;החלטה  שניתנה ע&amp;quot;י  יפעת שקדי שץ&amp;lt;/DecisionDisplayName&amp;gt;_x000d__x000a_        &amp;lt;IsScanned&amp;gt;false&amp;lt;/IsScanned&amp;gt;_x000d__x000a_        &amp;lt;DecisionSignatureUserName&amp;gt;יפעת שקדי שץ&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9&amp;lt;/DecisionNumberInCase&amp;gt;_x000d__x000a_      &amp;lt;/dt_Decision&amp;gt;_x000d__x000a_      &amp;lt;dt_DecisionCase diffgr:id=&amp;quot;dt_DecisionCase1&amp;quot; msdata:rowOrder=&amp;quot;0&amp;quot;&amp;gt;_x000d__x000a_        &amp;lt;DecisionID&amp;gt;154680358&amp;lt;/DecisionID&amp;gt;_x000d__x000a_        &amp;lt;CaseID&amp;gt;81322983&amp;lt;/CaseID&amp;gt;_x000d__x000a_        &amp;lt;IsOriginal&amp;gt;true&amp;lt;/IsOriginal&amp;gt;_x000d__x000a_        &amp;lt;IsDeleted&amp;gt;false&amp;lt;/IsDeleted&amp;gt;_x000d__x000a_        &amp;lt;CaseName&amp;gt;אורן נ&amp;#39; אורן ואח&amp;#39;&amp;lt;/CaseName&amp;gt;_x000d__x000a_        &amp;lt;CaseDisplayIdentifier&amp;gt;39899-06-24 ת&amp;quot;ב&amp;lt;/CaseDisplayIdentifier&amp;gt;_x000d__x000a_      &amp;lt;/dt_DecisionCase&amp;gt;_x000d__x000a_    &amp;lt;/DecisionDS&amp;gt;_x000d__x000a_  &amp;lt;/diffgr:diffgram&amp;gt;_x000d__x000a_&amp;lt;/DecisionDS&amp;gt;"/>
    <w:docVar w:name="DecisionID" w:val="154680358"/>
    <w:docVar w:name="WordClientAssemblyName" w:val="NGCS.Decision.ClientWordBL"/>
    <w:docVar w:name="WordClientClassName" w:val="NGCS.Decision.ClientWordBL.DecisionClient"/>
  </w:docVars>
  <w:rsids>
    <w:rsidRoot w:val="00694556"/>
    <w:rsid w:val="00000062"/>
    <w:rsid w:val="0000226B"/>
    <w:rsid w:val="00002C91"/>
    <w:rsid w:val="00005C8B"/>
    <w:rsid w:val="0001351F"/>
    <w:rsid w:val="000229A1"/>
    <w:rsid w:val="000529D2"/>
    <w:rsid w:val="000564AB"/>
    <w:rsid w:val="00064651"/>
    <w:rsid w:val="00064FBD"/>
    <w:rsid w:val="00082AB2"/>
    <w:rsid w:val="000906FE"/>
    <w:rsid w:val="00096AF7"/>
    <w:rsid w:val="000B344B"/>
    <w:rsid w:val="000C3B0F"/>
    <w:rsid w:val="000C3B60"/>
    <w:rsid w:val="000D6653"/>
    <w:rsid w:val="000E0DD2"/>
    <w:rsid w:val="000E3AF1"/>
    <w:rsid w:val="000F0BC8"/>
    <w:rsid w:val="000F0DD6"/>
    <w:rsid w:val="000F7C34"/>
    <w:rsid w:val="00107E6D"/>
    <w:rsid w:val="0011194C"/>
    <w:rsid w:val="0011424C"/>
    <w:rsid w:val="001173C6"/>
    <w:rsid w:val="001367BC"/>
    <w:rsid w:val="00144D2A"/>
    <w:rsid w:val="0014653E"/>
    <w:rsid w:val="001546F0"/>
    <w:rsid w:val="00155941"/>
    <w:rsid w:val="00180519"/>
    <w:rsid w:val="00191C82"/>
    <w:rsid w:val="00194B4D"/>
    <w:rsid w:val="001B6A63"/>
    <w:rsid w:val="001C4003"/>
    <w:rsid w:val="001D4DBF"/>
    <w:rsid w:val="001E75CA"/>
    <w:rsid w:val="002265FF"/>
    <w:rsid w:val="00234943"/>
    <w:rsid w:val="00271B56"/>
    <w:rsid w:val="00275B59"/>
    <w:rsid w:val="0028443A"/>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87666"/>
    <w:rsid w:val="003A4521"/>
    <w:rsid w:val="003A571F"/>
    <w:rsid w:val="003C737D"/>
    <w:rsid w:val="003D1C8C"/>
    <w:rsid w:val="0040096C"/>
    <w:rsid w:val="00414F1F"/>
    <w:rsid w:val="0041541E"/>
    <w:rsid w:val="0043125D"/>
    <w:rsid w:val="0043502B"/>
    <w:rsid w:val="004443AC"/>
    <w:rsid w:val="00444B02"/>
    <w:rsid w:val="00451E28"/>
    <w:rsid w:val="00462C62"/>
    <w:rsid w:val="00465D36"/>
    <w:rsid w:val="004936B6"/>
    <w:rsid w:val="004B35FD"/>
    <w:rsid w:val="004C17EE"/>
    <w:rsid w:val="004C25C8"/>
    <w:rsid w:val="004C4BDF"/>
    <w:rsid w:val="004D1187"/>
    <w:rsid w:val="004D3AA0"/>
    <w:rsid w:val="004E1987"/>
    <w:rsid w:val="004E2E15"/>
    <w:rsid w:val="004E6E3C"/>
    <w:rsid w:val="00520898"/>
    <w:rsid w:val="00523621"/>
    <w:rsid w:val="00524986"/>
    <w:rsid w:val="005268F6"/>
    <w:rsid w:val="00534284"/>
    <w:rsid w:val="00540895"/>
    <w:rsid w:val="00547DB7"/>
    <w:rsid w:val="00597AD3"/>
    <w:rsid w:val="005F4F09"/>
    <w:rsid w:val="006018C5"/>
    <w:rsid w:val="0061431B"/>
    <w:rsid w:val="00622BAA"/>
    <w:rsid w:val="006306CF"/>
    <w:rsid w:val="00644E9A"/>
    <w:rsid w:val="00671BD5"/>
    <w:rsid w:val="006805C1"/>
    <w:rsid w:val="00684302"/>
    <w:rsid w:val="00686C21"/>
    <w:rsid w:val="006931C1"/>
    <w:rsid w:val="00694556"/>
    <w:rsid w:val="006A6137"/>
    <w:rsid w:val="006C30C5"/>
    <w:rsid w:val="006C4820"/>
    <w:rsid w:val="006D3B31"/>
    <w:rsid w:val="006E0D96"/>
    <w:rsid w:val="006E1A53"/>
    <w:rsid w:val="006F56E6"/>
    <w:rsid w:val="00704EDA"/>
    <w:rsid w:val="00721122"/>
    <w:rsid w:val="0074078E"/>
    <w:rsid w:val="00753019"/>
    <w:rsid w:val="00754801"/>
    <w:rsid w:val="00761441"/>
    <w:rsid w:val="00780D6C"/>
    <w:rsid w:val="00795365"/>
    <w:rsid w:val="007A0F0A"/>
    <w:rsid w:val="007A351D"/>
    <w:rsid w:val="007A6136"/>
    <w:rsid w:val="007B7765"/>
    <w:rsid w:val="007C5BDD"/>
    <w:rsid w:val="007D45E3"/>
    <w:rsid w:val="007E6115"/>
    <w:rsid w:val="007F17A5"/>
    <w:rsid w:val="007F4609"/>
    <w:rsid w:val="00814468"/>
    <w:rsid w:val="00816947"/>
    <w:rsid w:val="008176A1"/>
    <w:rsid w:val="00820005"/>
    <w:rsid w:val="00844318"/>
    <w:rsid w:val="00860266"/>
    <w:rsid w:val="0086061C"/>
    <w:rsid w:val="00861F0D"/>
    <w:rsid w:val="00863F5D"/>
    <w:rsid w:val="00870890"/>
    <w:rsid w:val="00873602"/>
    <w:rsid w:val="00875D12"/>
    <w:rsid w:val="00881C08"/>
    <w:rsid w:val="00881CCE"/>
    <w:rsid w:val="0088479D"/>
    <w:rsid w:val="00891716"/>
    <w:rsid w:val="008959C7"/>
    <w:rsid w:val="00896889"/>
    <w:rsid w:val="00897DAF"/>
    <w:rsid w:val="008A197E"/>
    <w:rsid w:val="008C5714"/>
    <w:rsid w:val="008D10B2"/>
    <w:rsid w:val="00903896"/>
    <w:rsid w:val="00906F3D"/>
    <w:rsid w:val="00916A19"/>
    <w:rsid w:val="0093039F"/>
    <w:rsid w:val="0094424E"/>
    <w:rsid w:val="00953D17"/>
    <w:rsid w:val="00955642"/>
    <w:rsid w:val="009622DF"/>
    <w:rsid w:val="0096493F"/>
    <w:rsid w:val="00967DFF"/>
    <w:rsid w:val="00975099"/>
    <w:rsid w:val="00992DCF"/>
    <w:rsid w:val="00994341"/>
    <w:rsid w:val="00996935"/>
    <w:rsid w:val="009A24E4"/>
    <w:rsid w:val="009A457A"/>
    <w:rsid w:val="009A47B7"/>
    <w:rsid w:val="009D1A48"/>
    <w:rsid w:val="009E1CE7"/>
    <w:rsid w:val="009E4EA5"/>
    <w:rsid w:val="009F164B"/>
    <w:rsid w:val="009F323C"/>
    <w:rsid w:val="00A3392B"/>
    <w:rsid w:val="00A61FC0"/>
    <w:rsid w:val="00A64768"/>
    <w:rsid w:val="00A70081"/>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07502"/>
    <w:rsid w:val="00B330EA"/>
    <w:rsid w:val="00B3591F"/>
    <w:rsid w:val="00B5356E"/>
    <w:rsid w:val="00B809AD"/>
    <w:rsid w:val="00B80CBD"/>
    <w:rsid w:val="00B86096"/>
    <w:rsid w:val="00B964D9"/>
    <w:rsid w:val="00BA0A7C"/>
    <w:rsid w:val="00BA517C"/>
    <w:rsid w:val="00BB3D05"/>
    <w:rsid w:val="00BB73BE"/>
    <w:rsid w:val="00BC2D89"/>
    <w:rsid w:val="00BD6531"/>
    <w:rsid w:val="00BE05B2"/>
    <w:rsid w:val="00BE788A"/>
    <w:rsid w:val="00BF1908"/>
    <w:rsid w:val="00C22D93"/>
    <w:rsid w:val="00C23458"/>
    <w:rsid w:val="00C31120"/>
    <w:rsid w:val="00C34482"/>
    <w:rsid w:val="00C43648"/>
    <w:rsid w:val="00C50A9F"/>
    <w:rsid w:val="00C642FA"/>
    <w:rsid w:val="00CA370E"/>
    <w:rsid w:val="00CC7622"/>
    <w:rsid w:val="00CD608F"/>
    <w:rsid w:val="00CE45BB"/>
    <w:rsid w:val="00CF6BB7"/>
    <w:rsid w:val="00D04AA4"/>
    <w:rsid w:val="00D27982"/>
    <w:rsid w:val="00D30A65"/>
    <w:rsid w:val="00D33B86"/>
    <w:rsid w:val="00D4056E"/>
    <w:rsid w:val="00D44968"/>
    <w:rsid w:val="00D53924"/>
    <w:rsid w:val="00D54277"/>
    <w:rsid w:val="00D55D0C"/>
    <w:rsid w:val="00D82EFD"/>
    <w:rsid w:val="00D95501"/>
    <w:rsid w:val="00D96D8C"/>
    <w:rsid w:val="00DA1086"/>
    <w:rsid w:val="00DA6649"/>
    <w:rsid w:val="00DC1259"/>
    <w:rsid w:val="00DC1BD2"/>
    <w:rsid w:val="00DC2571"/>
    <w:rsid w:val="00DC487C"/>
    <w:rsid w:val="00DE1E7D"/>
    <w:rsid w:val="00DE6BF6"/>
    <w:rsid w:val="00E04E84"/>
    <w:rsid w:val="00E1068A"/>
    <w:rsid w:val="00E148B8"/>
    <w:rsid w:val="00E25884"/>
    <w:rsid w:val="00E25B55"/>
    <w:rsid w:val="00E31C2B"/>
    <w:rsid w:val="00E52CAD"/>
    <w:rsid w:val="00E5426A"/>
    <w:rsid w:val="00E54642"/>
    <w:rsid w:val="00E54CD9"/>
    <w:rsid w:val="00E66927"/>
    <w:rsid w:val="00E74384"/>
    <w:rsid w:val="00E80CBE"/>
    <w:rsid w:val="00E82877"/>
    <w:rsid w:val="00E93536"/>
    <w:rsid w:val="00E962E3"/>
    <w:rsid w:val="00EB6C79"/>
    <w:rsid w:val="00EC37E9"/>
    <w:rsid w:val="00ED3294"/>
    <w:rsid w:val="00F038D8"/>
    <w:rsid w:val="00F06995"/>
    <w:rsid w:val="00F13623"/>
    <w:rsid w:val="00F262D7"/>
    <w:rsid w:val="00F44D1D"/>
    <w:rsid w:val="00F83C32"/>
    <w:rsid w:val="00F84B6D"/>
    <w:rsid w:val="00F86D03"/>
    <w:rsid w:val="00F957E8"/>
    <w:rsid w:val="00FA311A"/>
    <w:rsid w:val="00FA5FDA"/>
    <w:rsid w:val="00FB184B"/>
    <w:rsid w:val="00FB6A01"/>
    <w:rsid w:val="00FB6AB3"/>
    <w:rsid w:val="00FD1419"/>
    <w:rsid w:val="00FD6D00"/>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A70081"/>
    <w:pPr>
      <w:ind w:left="720"/>
      <w:contextualSpacing/>
    </w:pPr>
  </w:style>
  <w:style w:type="paragraph" w:customStyle="1" w:styleId="ruller41">
    <w:name w:val="ruller41"/>
    <w:basedOn w:val="a"/>
    <w:rsid w:val="007A6136"/>
    <w:pPr>
      <w:bidi w:val="0"/>
      <w:spacing w:before="100" w:beforeAutospacing="1" w:after="100" w:afterAutospacing="1"/>
    </w:pPr>
    <w:rPr>
      <w:rFonts w:cs="Times New Roman"/>
      <w:noProof w:val="0"/>
    </w:rPr>
  </w:style>
  <w:style w:type="character" w:styleId="Hyperlink">
    <w:name w:val="Hyperlink"/>
    <w:basedOn w:val="a0"/>
    <w:uiPriority w:val="99"/>
    <w:semiHidden/>
    <w:unhideWhenUsed/>
    <w:rsid w:val="007A6136"/>
    <w:rPr>
      <w:color w:val="0000FF"/>
      <w:u w:val="single"/>
    </w:rPr>
  </w:style>
  <w:style w:type="paragraph" w:styleId="NormalWeb">
    <w:name w:val="Normal (Web)"/>
    <w:basedOn w:val="a"/>
    <w:uiPriority w:val="99"/>
    <w:semiHidden/>
    <w:unhideWhenUsed/>
    <w:rsid w:val="00F83C32"/>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786615">
      <w:bodyDiv w:val="1"/>
      <w:marLeft w:val="0"/>
      <w:marRight w:val="0"/>
      <w:marTop w:val="0"/>
      <w:marBottom w:val="0"/>
      <w:divBdr>
        <w:top w:val="none" w:sz="0" w:space="0" w:color="auto"/>
        <w:left w:val="none" w:sz="0" w:space="0" w:color="auto"/>
        <w:bottom w:val="none" w:sz="0" w:space="0" w:color="auto"/>
        <w:right w:val="none" w:sz="0" w:space="0" w:color="auto"/>
      </w:divBdr>
    </w:div>
    <w:div w:id="686753046">
      <w:bodyDiv w:val="1"/>
      <w:marLeft w:val="0"/>
      <w:marRight w:val="0"/>
      <w:marTop w:val="0"/>
      <w:marBottom w:val="0"/>
      <w:divBdr>
        <w:top w:val="none" w:sz="0" w:space="0" w:color="auto"/>
        <w:left w:val="none" w:sz="0" w:space="0" w:color="auto"/>
        <w:bottom w:val="none" w:sz="0" w:space="0" w:color="auto"/>
        <w:right w:val="none" w:sz="0" w:space="0" w:color="auto"/>
      </w:divBdr>
      <w:divsChild>
        <w:div w:id="2029677610">
          <w:marLeft w:val="0"/>
          <w:marRight w:val="0"/>
          <w:marTop w:val="0"/>
          <w:marBottom w:val="0"/>
          <w:divBdr>
            <w:top w:val="none" w:sz="0" w:space="0" w:color="auto"/>
            <w:left w:val="none" w:sz="0" w:space="0" w:color="auto"/>
            <w:bottom w:val="none" w:sz="0" w:space="0" w:color="auto"/>
            <w:right w:val="none" w:sz="0" w:space="0" w:color="auto"/>
          </w:divBdr>
          <w:divsChild>
            <w:div w:id="1397194714">
              <w:marLeft w:val="0"/>
              <w:marRight w:val="0"/>
              <w:marTop w:val="0"/>
              <w:marBottom w:val="0"/>
              <w:divBdr>
                <w:top w:val="none" w:sz="0" w:space="0" w:color="auto"/>
                <w:left w:val="none" w:sz="0" w:space="0" w:color="auto"/>
                <w:bottom w:val="none" w:sz="0" w:space="0" w:color="auto"/>
                <w:right w:val="none" w:sz="0" w:space="0" w:color="auto"/>
              </w:divBdr>
              <w:divsChild>
                <w:div w:id="1668823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jp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nevo.co.il/case/5703686"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727502" w:rsidP="00727502">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05E7DE95815641A5862D6440CD534EB0"/>
        <w:category>
          <w:name w:val="כללי"/>
          <w:gallery w:val="placeholder"/>
        </w:category>
        <w:types>
          <w:type w:val="bbPlcHdr"/>
        </w:types>
        <w:behaviors>
          <w:behavior w:val="content"/>
        </w:behaviors>
        <w:guid w:val="{78D87E1C-EC59-47C3-9A9D-ED7FFF53537E}"/>
      </w:docPartPr>
      <w:docPartBody>
        <w:p w:rsidR="0086433F" w:rsidRDefault="002A56A9" w:rsidP="002A56A9">
          <w:pPr>
            <w:pStyle w:val="05E7DE95815641A5862D6440CD534EB0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א'</w:t>
          </w:r>
        </w:p>
      </w:docPartBody>
    </w:docPart>
    <w:docPart>
      <w:docPartPr>
        <w:name w:val="BAA7C8D270FD4AD58EEC53F0343E378A"/>
        <w:category>
          <w:name w:val="כללי"/>
          <w:gallery w:val="placeholder"/>
        </w:category>
        <w:types>
          <w:type w:val="bbPlcHdr"/>
        </w:types>
        <w:behaviors>
          <w:behavior w:val="content"/>
        </w:behaviors>
        <w:guid w:val="{FA8771B0-29AB-43BA-A4F7-F6181574657A}"/>
      </w:docPartPr>
      <w:docPartBody>
        <w:p w:rsidR="0086433F" w:rsidRDefault="002A56A9" w:rsidP="002A56A9">
          <w:pPr>
            <w:pStyle w:val="BAA7C8D270FD4AD58EEC53F0343E378A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50CA2"/>
    <w:rsid w:val="002A56A9"/>
    <w:rsid w:val="002D02C4"/>
    <w:rsid w:val="00345C9D"/>
    <w:rsid w:val="003A3CFB"/>
    <w:rsid w:val="00405FEA"/>
    <w:rsid w:val="004745AE"/>
    <w:rsid w:val="0048651F"/>
    <w:rsid w:val="005157ED"/>
    <w:rsid w:val="00556D67"/>
    <w:rsid w:val="00727502"/>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81DB1"/>
    <w:rsid w:val="00EE765B"/>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72750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81322983</CaseID>
    <CaseJudicialPersonPresentationDS>
      <CaseJudicalPersonActive>
        <CaseID>81322983</CaseID>
        <JudicialPersonID>034342147@GOV.IL</JudicialPersonID>
        <JudicialPersonTypeID>1</JudicialPersonTypeID>
        <JudicialTypeID>1</JudicialTypeID>
        <IsChairman>false</IsChairman>
        <TreatmentStartDate>2024-06-19T07:52:32.983+03:00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איתן קוהלי</FullName>
        <FirstName>איתן</FirstName>
        <LastName>קוהלי</LastName>
        <PartyPropertyName/>
        <AuthenticationTypeAndNumber>מ.ר. 26650</AuthenticationTypeAndNumber>
        <RepresentatedOrRepresentativesNames>איתן קוהלי</RepresentatedOrRepresentativesNames>
        <RepresentatedOrRepresentativesCount>1</RepresentatedOrRepresentativesCount>
        <InvitedBy/>
        <CaseID>81322983</CaseID>
        <CaseJudicialPersonPresentationDS>
          <CaseJudicalPersonActive>
            <CaseID>81322983</CaseID>
            <JudicialPersonID>034342147@GOV.IL</JudicialPersonID>
            <JudicialPersonTypeID>1</JudicialPersonTypeID>
            <JudicialTypeID>1</JudicialTypeID>
            <IsChairman>false</IsChairman>
            <TreatmentStartDate>2024-06-19T07:52:32.983+03:00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272241101</CasePartyID>
        <PartyTypeID>2</PartyTypeID>
        <ActivityStatusID>1</ActivityStatusID>
        <PartyAliasID>23</PartyAliasID>
        <PartyAliasName>בא כוח משיבים</PartyAliasName>
        <LegalEntityID>383400</LegalEntityID>
        <CaseLegalEntityID>129504786</CaseLegalEntityID>
        <AuthenticationTypeID>4</AuthenticationTypeID>
        <AuthenticationTypeName>מ.ר.</AuthenticationTypeName>
        <LegalEntityNumber>26650</LegalEntityNumber>
        <IsMainPartyType>true</IsMainPartyType>
        <CaseDisplayIdentifier>39899-06-24</CaseDisplayIdentifier>
        <CaseTypeID>10047</CaseTypeID>
        <CaseTypeName>תביעות בוררות (ת"ב)</CaseTypeName>
        <CaseName>אורן נ' אורן ואח'</CaseName>
        <FullAddress>רש"י 5 רמת גן </FullAddress>
        <EmailAddress>kohali@zahav.net.il</EmailAddress>
        <MotionID>0</MotionID>
        <CasePleaID>0</CasePleaID>
        <FatherName>שלום</FatherName>
        <LinkedCaseID>0</LinkedCaseID>
        <PartyID>2</PartyID>
        <CasePartyCategoryID>2</CasePartyCategoryID>
        <LegalEntityAddressID>3506864</LegalEntityAddressID>
        <LegalEntityEmailAddressID>68157866</LegalEntityEmailAddressID>
        <PleaTypeID>5</PleaTypeID>
        <LawyerOfficeName>משרד עו"ד: איתן קוהלי</LawyerOfficeName>
        <LawyerOfficeID>424044</LawyerOfficeID>
        <GroupPartyAlias/>
        <IsConverted>false</IsConverted>
        <LegalEntityNameID>4384</LegalEntityNameID>
        <RepresentatedNamesOfAssistant/>
        <LegalEntityTypeID>4</LegalEntityTypeID>
        <IsVerdictExists>false</IsVerdictExists>
        <IsAsirAzir>false</IsAsirAzir>
        <MainAndSecSpec/>
        <IsPublicationProhibited>false</IsPublicationProhibited>
        <PublicationProhibitedFullName>איתן קוהלי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טומס נדשי</FullName>
        <FirstName>טומס</FirstName>
        <LastName>נדשי</LastName>
        <PartyPropertyName/>
        <AuthenticationTypeAndNumber>מ.ר. 7940</AuthenticationTypeAndNumber>
        <RepresentatedOrRepresentativesNames>תומס (טומי) נדשי</RepresentatedOrRepresentativesNames>
        <RepresentatedOrRepresentativesCount>1</RepresentatedOrRepresentativesCount>
        <InvitedBy/>
        <CaseID>81322983</CaseID>
        <CaseJudicialPersonPresentationDS>
          <CaseJudicalPersonActive>
            <CaseID>81322983</CaseID>
            <JudicialPersonID>034342147@GOV.IL</JudicialPersonID>
            <JudicialPersonTypeID>1</JudicialPersonTypeID>
            <JudicialTypeID>1</JudicialTypeID>
            <IsChairman>false</IsChairman>
            <TreatmentStartDate>2024-06-19T07:52:32.983+03:00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272241294</CasePartyID>
        <PartyTypeID>2</PartyTypeID>
        <ActivityStatusID>1</ActivityStatusID>
        <PartyAliasID>23</PartyAliasID>
        <PartyAliasName>בא כוח משיבים</PartyAliasName>
        <LegalEntityID>393605</LegalEntityID>
        <CaseLegalEntityID>129504855</CaseLegalEntityID>
        <AuthenticationTypeID>4</AuthenticationTypeID>
        <AuthenticationTypeName>מ.ר.</AuthenticationTypeName>
        <LegalEntityNumber>7940</LegalEntityNumber>
        <IsMainPartyType>true</IsMainPartyType>
        <CaseDisplayIdentifier>39899-06-24</CaseDisplayIdentifier>
        <CaseTypeID>10047</CaseTypeID>
        <CaseTypeName>תביעות בוררות (ת"ב)</CaseTypeName>
        <CaseName>אורן נ' אורן ואח'</CaseName>
        <FullAddress>פל-ים 2 חיפה </FullAddress>
        <EmailAddress>tomi@nadashi.co.il</EmailAddress>
        <MotionID>0</MotionID>
        <CasePleaID>0</CasePleaID>
        <FatherName xml:space="preserve">        </FatherName>
        <LinkedCaseID>0</LinkedCaseID>
        <PartyID>2</PartyID>
        <CasePartyCategoryID>2</CasePartyCategoryID>
        <LegalEntityAddressID>77174930</LegalEntityAddressID>
        <LegalEntityEmailAddressID>67829215</LegalEntityEmailAddressID>
        <PleaTypeID>5</PleaTypeID>
        <LawyerOfficeName>משרד עו"ד: טומס נדשי</LawyerOfficeName>
        <LawyerOfficeID>434249</LawyerOfficeID>
        <GroupPartyAlias/>
        <IsConverted>false</IsConverted>
        <LegalEntityNameID>14589</LegalEntityNameID>
        <RepresentatedNamesOfAssistant/>
        <LegalEntityTypeID>4</LegalEntityTypeID>
        <IsVerdictExists>false</IsVerdictExists>
        <IsAsirAzir>false</IsAsirAzir>
        <MainAndSecSpec/>
        <IsPublicationProhibited>false</IsPublicationProhibited>
        <PublicationProhibitedFullName>טומס נדשי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תומר אברהמי</FullName>
        <FirstName>תומר</FirstName>
        <LastName>אברהמי</LastName>
        <PartyPropertyName/>
        <AuthenticationTypeAndNumber>מ.ר. 34877</AuthenticationTypeAndNumber>
        <RepresentatedOrRepresentativesNames>אופירה אורן</RepresentatedOrRepresentativesNames>
        <RepresentatedOrRepresentativesCount>1</RepresentatedOrRepresentativesCount>
        <InvitedBy/>
        <CaseID>81322983</CaseID>
        <CaseJudicialPersonPresentationDS>
          <CaseJudicalPersonActive>
            <CaseID>81322983</CaseID>
            <JudicialPersonID>034342147@GOV.IL</JudicialPersonID>
            <JudicialPersonTypeID>1</JudicialPersonTypeID>
            <JudicialTypeID>1</JudicialTypeID>
            <IsChairman>false</IsChairman>
            <TreatmentStartDate>2024-06-19T07:52:32.983+03:00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272965347</CasePartyID>
        <PartyTypeID>2</PartyTypeID>
        <ActivityStatusID>1</ActivityStatusID>
        <PartyAliasID>23</PartyAliasID>
        <PartyAliasName>בא כוח משיבים</PartyAliasName>
        <LegalEntityID>407294</LegalEntityID>
        <CaseLegalEntityID>129728578</CaseLegalEntityID>
        <AuthenticationTypeID>4</AuthenticationTypeID>
        <AuthenticationTypeName>מ.ר.</AuthenticationTypeName>
        <LegalEntityNumber>34877</LegalEntityNumber>
        <IsMainPartyType>true</IsMainPartyType>
        <CaseDisplayIdentifier>39899-06-24</CaseDisplayIdentifier>
        <CaseTypeID>10047</CaseTypeID>
        <CaseTypeName>תביעות בוררות (ת"ב)</CaseTypeName>
        <CaseName>אורן נ' אורן ואח'</CaseName>
        <FullAddress>דרך בגין 150 תל אביב -יפו </FullAddress>
        <EmailAddress>tomer@tavram.co.il</EmailAddress>
        <MotionID>0</MotionID>
        <CasePleaID>0</CasePleaID>
        <LinkedCaseID>0</LinkedCaseID>
        <PartyID>2</PartyID>
        <CasePartyCategoryID>2</CasePartyCategoryID>
        <LegalEntityAddressID>82831438</LegalEntityAddressID>
        <LegalEntityEmailAddressID>68208312</LegalEntityEmailAddressID>
        <PleaTypeID>5</PleaTypeID>
        <LawyerOfficeName>תומר אברהמי-משרד עו"ד </LawyerOfficeName>
        <LawyerOfficeID>447938</LawyerOfficeID>
        <GroupPartyAlias/>
        <IsConverted>false</IsConverted>
        <LegalEntityNameID>17375704</LegalEntityNameID>
        <RepresentatedNamesOfAssistant/>
        <LegalEntityTypeID>4</LegalEntityTypeID>
        <IsVerdictExists>false</IsVerdictExists>
        <IsAsirAzir>false</IsAsirAzir>
        <MainAndSecSpec/>
        <IsPublicationProhibited>false</IsPublicationProhibited>
        <PublicationProhibitedFullName>תומר אברהמי</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חנן אורן</FullName>
        <FirstName>חנן</FirstName>
        <LastName>אורן</LastName>
        <PartyPropertyName/>
        <AuthenticationTypeAndNumber>ת"ז 022548069</AuthenticationTypeAndNumber>
        <RepresentatedOrRepresentativesNames>מיכאל איילון</RepresentatedOrRepresentativesNames>
        <RepresentatedOrRepresentativesCount>1</RepresentatedOrRepresentativesCount>
        <InvitedBy/>
        <CaseID>81322983</CaseID>
        <CaseJudicialPersonPresentationDS>
          <CaseJudicalPersonActive>
            <CaseID>81322983</CaseID>
            <JudicialPersonID>034342147@GOV.IL</JudicialPersonID>
            <JudicialPersonTypeID>1</JudicialPersonTypeID>
            <JudicialTypeID>1</JudicialTypeID>
            <IsChairman>false</IsChairman>
            <TreatmentStartDate>2024-06-19T07:52:32.983+03:00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271616360</CasePartyID>
        <PartyTypeID>1</PartyTypeID>
        <ActivityStatusID>1</ActivityStatusID>
        <PartyAliasID>3</PartyAliasID>
        <PartyAliasName>מבקש</PartyAliasName>
        <OrdinalNumber>1</OrdinalNumber>
        <LegalEntityID>2354623</LegalEntityID>
        <CaseLegalEntityID>129319121</CaseLegalEntityID>
        <AuthenticationTypeID>1</AuthenticationTypeID>
        <AuthenticationTypeName>ת"ז</AuthenticationTypeName>
        <LegalEntityNumber>022548069</LegalEntityNumber>
        <IsMainPartyType>true</IsMainPartyType>
        <CaseDisplayIdentifier>39899-06-24</CaseDisplayIdentifier>
        <CaseTypeID>10047</CaseTypeID>
        <CaseTypeName>תביעות בוררות (ת"ב)</CaseTypeName>
        <CaseName>אורן נ' אורן ואח'</CaseName>
        <FullAddress>המלאכה 29 נתניה </FullAddress>
        <MotionID>0</MotionID>
        <CasePleaID>0</CasePleaID>
        <FatherName>יחיאל</FatherName>
        <LinkedCaseID>0</LinkedCaseID>
        <PartyID>1</PartyID>
        <CasePartyCategoryID>2</CasePartyCategoryID>
        <LegalEntityAddressID>89437630</LegalEntityAddressID>
        <GrandfatherName/>
        <DrivingLicenseNumber>3124153</DrivingLicenseNumber>
        <PleaTypeID>5</PleaTypeID>
        <GroupPartyAlias>מבקשים</GroupPartyAlias>
        <IsConverted>false</IsConverted>
        <LegalEntityRegisteredNameID>352743</LegalEntityRegisteredNameID>
        <LegalEntityNameID>96728978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חנן אורן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מיכאל איילון</FullName>
        <FirstName>מיכאל</FirstName>
        <LastName>איילון</LastName>
        <PartyPropertyName/>
        <AuthenticationTypeAndNumber>מ.ר. 37752</AuthenticationTypeAndNumber>
        <RepresentatedOrRepresentativesNames>חנן אורן</RepresentatedOrRepresentativesNames>
        <RepresentatedOrRepresentativesCount>1</RepresentatedOrRepresentativesCount>
        <InvitedBy/>
        <CaseID>81322983</CaseID>
        <CaseJudicialPersonPresentationDS>
          <CaseJudicalPersonActive>
            <CaseID>81322983</CaseID>
            <JudicialPersonID>034342147@GOV.IL</JudicialPersonID>
            <JudicialPersonTypeID>1</JudicialPersonTypeID>
            <JudicialTypeID>1</JudicialTypeID>
            <IsChairman>false</IsChairman>
            <TreatmentStartDate>2024-06-19T07:52:32.983+03:00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271616361</CasePartyID>
        <PartyTypeID>2</PartyTypeID>
        <ActivityStatusID>1</ActivityStatusID>
        <PartyAliasID>22</PartyAliasID>
        <PartyAliasName>בא כוח מבקשים</PartyAliasName>
        <OrdinalNumber>1</OrdinalNumber>
        <LegalEntityID>409560</LegalEntityID>
        <CaseLegalEntityID>129319122</CaseLegalEntityID>
        <AuthenticationTypeID>4</AuthenticationTypeID>
        <AuthenticationTypeName>מ.ר.</AuthenticationTypeName>
        <LegalEntityNumber>37752</LegalEntityNumber>
        <IsMainPartyType>true</IsMainPartyType>
        <CaseDisplayIdentifier>39899-06-24</CaseDisplayIdentifier>
        <CaseTypeID>10047</CaseTypeID>
        <CaseTypeName>תביעות בוררות (ת"ב)</CaseTypeName>
        <CaseName>אורן נ' אורן ואח'</CaseName>
        <FullAddress>החרש 20 תל אביב -יפו </FullAddress>
        <EmailAddress>office@gornitzky.com</EmailAddress>
        <MotionID>0</MotionID>
        <CasePleaID>0</CasePleaID>
        <FatherName xml:space="preserve">        </FatherName>
        <LinkedCaseID>0</LinkedCaseID>
        <PartyID>1</PartyID>
        <CasePartyCategoryID>2</CasePartyCategoryID>
        <LegalEntityAddressID>85690534</LegalEntityAddressID>
        <LegalEntityEmailAddressID>55828198</LegalEntityEmailAddressID>
        <PleaTypeID>5</PleaTypeID>
        <LawyerOfficeName>משרד עו"ד גורניצקי ושות'</LawyerOfficeName>
        <LawyerOfficeID>15880849</LawyerOfficeID>
        <GroupPartyAlias/>
        <IsConverted>false</IsConverted>
        <LegalEntityNameID>30544</LegalEntityNameID>
        <RepresentatedNamesOfAssistant/>
        <LegalEntityTypeID>4</LegalEntityTypeID>
        <IsVerdictExists>false</IsVerdictExists>
        <IsAsirAzir>false</IsAsirAzir>
        <MainAndSecSpec/>
        <IsPublicationProhibited>false</IsPublicationProhibited>
        <PublicationProhibitedFullName>מיכאל איילון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אופירה אורן</FullName>
        <FirstName>אופירה</FirstName>
        <LastName>אורן</LastName>
        <PartyPropertyName/>
        <AuthenticationTypeAndNumber>ת"ז 028141521</AuthenticationTypeAndNumber>
        <RepresentatedOrRepresentativesNames>תומר אברהמי</RepresentatedOrRepresentativesNames>
        <RepresentatedOrRepresentativesCount>1</RepresentatedOrRepresentativesCount>
        <InvitedBy/>
        <CaseID>81322983</CaseID>
        <CaseJudicialPersonPresentationDS>
          <CaseJudicalPersonActive>
            <CaseID>81322983</CaseID>
            <JudicialPersonID>034342147@GOV.IL</JudicialPersonID>
            <JudicialPersonTypeID>1</JudicialPersonTypeID>
            <JudicialTypeID>1</JudicialTypeID>
            <IsChairman>false</IsChairman>
            <TreatmentStartDate>2024-06-19T07:52:32.983+03:00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271616362</CasePartyID>
        <PartyTypeID>1</PartyTypeID>
        <ActivityStatusID>1</ActivityStatusID>
        <PartyAliasID>4</PartyAliasID>
        <PartyAliasName>משיב</PartyAliasName>
        <OrdinalNumber>1</OrdinalNumber>
        <LegalEntityID>69586998</LegalEntityID>
        <CaseLegalEntityID>129319123</CaseLegalEntityID>
        <AuthenticationTypeID>1</AuthenticationTypeID>
        <AuthenticationTypeName>ת"ז</AuthenticationTypeName>
        <LegalEntityNumber>028141521</LegalEntityNumber>
        <IsMainPartyType>true</IsMainPartyType>
        <CaseDisplayIdentifier>39899-06-24</CaseDisplayIdentifier>
        <CaseTypeID>10047</CaseTypeID>
        <CaseTypeName>תביעות בוררות (ת"ב)</CaseTypeName>
        <CaseName>אורן נ' אורן ואח'</CaseName>
        <FullAddress>הכרכום 22 זכרון יעקב </FullAddress>
        <MotionID>0</MotionID>
        <CasePleaID>0</CasePleaID>
        <FatherName>טומס</FatherName>
        <LinkedCaseID>0</LinkedCaseID>
        <PartyID>2</PartyID>
        <CasePartyCategoryID>2</CasePartyCategoryID>
        <LegalEntityAddressID>89437631</LegalEntityAddressID>
        <PleaTypeID>5</PleaTypeID>
        <GroupPartyAlias>משיבים</GroupPartyAlias>
        <IsConverted>false</IsConverted>
        <LegalEntityRegisteredNameID>2178454</LegalEntityRegisteredNameID>
        <LegalEntityNameID>96728979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אופירה אורן</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תומס (טומי) נדשי</FullName>
        <FirstName>טומס</FirstName>
        <LastName>נדשי</LastName>
        <PartyPropertyName/>
        <AuthenticationTypeAndNumber>ת"ז 076655547</AuthenticationTypeAndNumber>
        <RepresentatedOrRepresentativesNames>טומס נדשי</RepresentatedOrRepresentativesNames>
        <RepresentatedOrRepresentativesCount>1</RepresentatedOrRepresentativesCount>
        <InvitedBy/>
        <CaseID>81322983</CaseID>
        <CaseJudicialPersonPresentationDS>
          <CaseJudicalPersonActive>
            <CaseID>81322983</CaseID>
            <JudicialPersonID>034342147@GOV.IL</JudicialPersonID>
            <JudicialPersonTypeID>1</JudicialPersonTypeID>
            <JudicialTypeID>1</JudicialTypeID>
            <IsChairman>false</IsChairman>
            <TreatmentStartDate>2024-06-19T07:52:32.983+03:00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271616363</CasePartyID>
        <PartyTypeID>1</PartyTypeID>
        <ActivityStatusID>1</ActivityStatusID>
        <PartyAliasID>4</PartyAliasID>
        <PartyAliasName>משיב</PartyAliasName>
        <OrdinalNumber>2</OrdinalNumber>
        <LegalEntityID>6223999</LegalEntityID>
        <CaseLegalEntityID>129319124</CaseLegalEntityID>
        <AuthenticationTypeID>1</AuthenticationTypeID>
        <AuthenticationTypeName>ת"ז</AuthenticationTypeName>
        <LegalEntityNumber>076655547</LegalEntityNumber>
        <IsMainPartyType>true</IsMainPartyType>
        <CaseDisplayIdentifier>39899-06-24</CaseDisplayIdentifier>
        <CaseTypeID>10047</CaseTypeID>
        <CaseTypeName>תביעות בוררות (ת"ב)</CaseTypeName>
        <CaseName>אורן נ' אורן ואח'</CaseName>
        <FullAddress>הפל ים 2 חיפה </FullAddress>
        <MotionID>0</MotionID>
        <CasePleaID>0</CasePleaID>
        <FatherName>גאורג</FatherName>
        <LinkedCaseID>0</LinkedCaseID>
        <PartyID>2</PartyID>
        <CasePartyCategoryID>2</CasePartyCategoryID>
        <LegalEntityAddressID>89437632</LegalEntityAddressID>
        <PleaTypeID>5</PleaTypeID>
        <GroupPartyAlias>משיבים</GroupPartyAlias>
        <IsConverted>false</IsConverted>
        <LegalEntityRegisteredNameID>1761318</LegalEntityRegisteredNameID>
        <LegalEntityNameID>96797752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תומס (טומי) נדשי</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איתן קוהלי</FullName>
        <FirstName>איתן</FirstName>
        <LastName>קוהלי</LastName>
        <PartyPropertyName/>
        <AuthenticationTypeAndNumber>ת"ז 023761448</AuthenticationTypeAndNumber>
        <RepresentatedOrRepresentativesNames>איתן קוהלי</RepresentatedOrRepresentativesNames>
        <RepresentatedOrRepresentativesCount>1</RepresentatedOrRepresentativesCount>
        <InvitedBy/>
        <CaseID>81322983</CaseID>
        <CaseJudicialPersonPresentationDS>
          <CaseJudicalPersonActive>
            <CaseID>81322983</CaseID>
            <JudicialPersonID>034342147@GOV.IL</JudicialPersonID>
            <JudicialPersonTypeID>1</JudicialPersonTypeID>
            <JudicialTypeID>1</JudicialTypeID>
            <IsChairman>false</IsChairman>
            <TreatmentStartDate>2024-06-19T07:52:32.983+03:00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271616364</CasePartyID>
        <PartyTypeID>1</PartyTypeID>
        <ActivityStatusID>1</ActivityStatusID>
        <PartyAliasID>4</PartyAliasID>
        <PartyAliasName>משיב</PartyAliasName>
        <OrdinalNumber>3</OrdinalNumber>
        <LegalEntityID>21983927</LegalEntityID>
        <CaseLegalEntityID>129319125</CaseLegalEntityID>
        <AuthenticationTypeID>1</AuthenticationTypeID>
        <AuthenticationTypeName>ת"ז</AuthenticationTypeName>
        <LegalEntityNumber>023761448</LegalEntityNumber>
        <IsMainPartyType>true</IsMainPartyType>
        <CaseDisplayIdentifier>39899-06-24</CaseDisplayIdentifier>
        <CaseTypeID>10047</CaseTypeID>
        <CaseTypeName>תביעות בוררות (ת"ב)</CaseTypeName>
        <CaseName>אורן נ' אורן ואח'</CaseName>
        <FullAddress>רשי 5 רמת גן </FullAddress>
        <MotionID>0</MotionID>
        <CasePleaID>0</CasePleaID>
        <FatherName>רפאל</FatherName>
        <LinkedCaseID>0</LinkedCaseID>
        <PartyID>2</PartyID>
        <CasePartyCategoryID>2</CasePartyCategoryID>
        <LegalEntityAddressID>89437633</LegalEntityAddressID>
        <GrandfatherName/>
        <DrivingLicenseNumber>2356542</DrivingLicenseNumber>
        <PleaTypeID>5</PleaTypeID>
        <GroupPartyAlias>משיבים</GroupPartyAlias>
        <IsConverted>false</IsConverted>
        <LegalEntityRegisteredNameID>2148959</LegalEntityRegisteredNameID>
        <LegalEntityNameID>96797787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איתן קוהלי</PublicationProhibitedFullName>
      </CaseParties>
    </CasePartiesSelectionDS>
    <DecisionName>החלטה  שניתנה ע"י  יפעת שקדי שץ</DecisionName>
    <CourtDisplayName>בית משפט לענייני משפחה בחדרה</CourtDisplayName>
    <IsCaseJudgePanel>false</IsCaseJudgePanel>
    <DecisionSignatureDate>2024-09-03T15:10:43.0049645+03:00</DecisionSignatureDate>
    <OpenCaseDate>2024-06-18T09:43:00+03:00</OpenCaseDate>
    <CaseFeeSum>0.000</CaseFeeSum>
    <DecisionTypeID>1</DecisionTypeID>
    <DecisionSignatureUserName>יפעת שקדי שץ</DecisionSignatureUserName>
    <DecisionSignatureDateHebrew>2024-09-03T15:10:43.0049645+03:00</DecisionSignatureDateHebrew>
    <DecisionWriterID>034342147@GOV.IL</DecisionWriterID>
    <CourtAddress>רח' הלל יפה 7 א', חדרה 30203</CourtAddress>
    <IsAutoTextInCaseExist>false</IsAutoTextInCaseExist>
    <DecisionSignatureRoleName>שופט</DecisionSignatureRoleName>
    <DecisionSignatureUserTitleName>שופטת</DecisionSignatureUserTitleName>
    <CaseName>אורן נ' אורן ואח'</CaseName>
    <DecisionNumberInCase>9</DecisionNumberInCase>
  </dt_Decision>
  <dt_DecisionCase>
    <DecisionID>0</DecisionID>
    <CaseID>81322983</CaseID>
    <CaseJudicialPersonPresentationDS>
      <CaseJudicalPersonActive>
        <CaseID>81322983</CaseID>
        <JudicialPersonID>034342147@GOV.IL</JudicialPersonID>
        <JudicialPersonTypeID>1</JudicialPersonTypeID>
        <JudicialTypeID>1</JudicialTypeID>
        <IsChairman>false</IsChairman>
        <TreatmentStartDate>2024-06-19T07:52:32.983+03:00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איתן קוהלי</FullName>
        <FirstName>איתן</FirstName>
        <LastName>קוהלי</LastName>
        <PartyPropertyName/>
        <AuthenticationTypeAndNumber>מ.ר. 26650</AuthenticationTypeAndNumber>
        <RepresentatedOrRepresentativesNames>איתן קוהלי</RepresentatedOrRepresentativesNames>
        <RepresentatedOrRepresentativesCount>1</RepresentatedOrRepresentativesCount>
        <InvitedBy/>
        <CaseID>81322983</CaseID>
        <CaseJudicialPersonPresentationDS>
          <CaseJudicalPersonActive>
            <CaseID>81322983</CaseID>
            <JudicialPersonID>034342147@GOV.IL</JudicialPersonID>
            <JudicialPersonTypeID>1</JudicialPersonTypeID>
            <JudicialTypeID>1</JudicialTypeID>
            <IsChairman>false</IsChairman>
            <TreatmentStartDate>2024-06-19T07:52:32.983+03:00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272241101</CasePartyID>
        <PartyTypeID>2</PartyTypeID>
        <ActivityStatusID>1</ActivityStatusID>
        <PartyAliasID>23</PartyAliasID>
        <PartyAliasName>בא כוח משיבים</PartyAliasName>
        <LegalEntityID>383400</LegalEntityID>
        <CaseLegalEntityID>129504786</CaseLegalEntityID>
        <AuthenticationTypeID>4</AuthenticationTypeID>
        <AuthenticationTypeName>מ.ר.</AuthenticationTypeName>
        <LegalEntityNumber>26650</LegalEntityNumber>
        <IsMainPartyType>true</IsMainPartyType>
        <CaseDisplayIdentifier>39899-06-24</CaseDisplayIdentifier>
        <CaseTypeID>10047</CaseTypeID>
        <CaseTypeName>תביעות בוררות (ת"ב)</CaseTypeName>
        <CaseName>אורן נ' אורן ואח'</CaseName>
        <FullAddress>רש"י 5 רמת גן </FullAddress>
        <EmailAddress>kohali@zahav.net.il</EmailAddress>
        <MotionID>0</MotionID>
        <CasePleaID>0</CasePleaID>
        <FatherName>שלום</FatherName>
        <LinkedCaseID>0</LinkedCaseID>
        <PartyID>2</PartyID>
        <CasePartyCategoryID>2</CasePartyCategoryID>
        <LegalEntityAddressID>3506864</LegalEntityAddressID>
        <LegalEntityEmailAddressID>68157866</LegalEntityEmailAddressID>
        <PleaTypeID>5</PleaTypeID>
        <LawyerOfficeName>משרד עו"ד: איתן קוהלי</LawyerOfficeName>
        <LawyerOfficeID>424044</LawyerOfficeID>
        <GroupPartyAlias/>
        <IsConverted>false</IsConverted>
        <LegalEntityNameID>4384</LegalEntityNameID>
        <RepresentatedNamesOfAssistant/>
        <LegalEntityTypeID>4</LegalEntityTypeID>
        <IsVerdictExists>false</IsVerdictExists>
        <IsAsirAzir>false</IsAsirAzir>
        <MainAndSecSpec/>
        <IsPublicationProhibited>false</IsPublicationProhibited>
        <PublicationProhibitedFullName>איתן קוהלי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טומס נדשי</FullName>
        <FirstName>טומס</FirstName>
        <LastName>נדשי</LastName>
        <PartyPropertyName/>
        <AuthenticationTypeAndNumber>מ.ר. 7940</AuthenticationTypeAndNumber>
        <RepresentatedOrRepresentativesNames>תומס (טומי) נדשי</RepresentatedOrRepresentativesNames>
        <RepresentatedOrRepresentativesCount>1</RepresentatedOrRepresentativesCount>
        <InvitedBy/>
        <CaseID>81322983</CaseID>
        <CaseJudicialPersonPresentationDS>
          <CaseJudicalPersonActive>
            <CaseID>81322983</CaseID>
            <JudicialPersonID>034342147@GOV.IL</JudicialPersonID>
            <JudicialPersonTypeID>1</JudicialPersonTypeID>
            <JudicialTypeID>1</JudicialTypeID>
            <IsChairman>false</IsChairman>
            <TreatmentStartDate>2024-06-19T07:52:32.983+03:00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272241294</CasePartyID>
        <PartyTypeID>2</PartyTypeID>
        <ActivityStatusID>1</ActivityStatusID>
        <PartyAliasID>23</PartyAliasID>
        <PartyAliasName>בא כוח משיבים</PartyAliasName>
        <LegalEntityID>393605</LegalEntityID>
        <CaseLegalEntityID>129504855</CaseLegalEntityID>
        <AuthenticationTypeID>4</AuthenticationTypeID>
        <AuthenticationTypeName>מ.ר.</AuthenticationTypeName>
        <LegalEntityNumber>7940</LegalEntityNumber>
        <IsMainPartyType>true</IsMainPartyType>
        <CaseDisplayIdentifier>39899-06-24</CaseDisplayIdentifier>
        <CaseTypeID>10047</CaseTypeID>
        <CaseTypeName>תביעות בוררות (ת"ב)</CaseTypeName>
        <CaseName>אורן נ' אורן ואח'</CaseName>
        <FullAddress>פל-ים 2 חיפה </FullAddress>
        <EmailAddress>tomi@nadashi.co.il</EmailAddress>
        <MotionID>0</MotionID>
        <CasePleaID>0</CasePleaID>
        <FatherName xml:space="preserve">        </FatherName>
        <LinkedCaseID>0</LinkedCaseID>
        <PartyID>2</PartyID>
        <CasePartyCategoryID>2</CasePartyCategoryID>
        <LegalEntityAddressID>77174930</LegalEntityAddressID>
        <LegalEntityEmailAddressID>67829215</LegalEntityEmailAddressID>
        <PleaTypeID>5</PleaTypeID>
        <LawyerOfficeName>משרד עו"ד: טומס נדשי</LawyerOfficeName>
        <LawyerOfficeID>434249</LawyerOfficeID>
        <GroupPartyAlias/>
        <IsConverted>false</IsConverted>
        <LegalEntityNameID>14589</LegalEntityNameID>
        <RepresentatedNamesOfAssistant/>
        <LegalEntityTypeID>4</LegalEntityTypeID>
        <IsVerdictExists>false</IsVerdictExists>
        <IsAsirAzir>false</IsAsirAzir>
        <MainAndSecSpec/>
        <IsPublicationProhibited>false</IsPublicationProhibited>
        <PublicationProhibitedFullName>טומס נדשי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תומר אברהמי</FullName>
        <FirstName>תומר</FirstName>
        <LastName>אברהמי</LastName>
        <PartyPropertyName/>
        <AuthenticationTypeAndNumber>מ.ר. 34877</AuthenticationTypeAndNumber>
        <RepresentatedOrRepresentativesNames>אופירה אורן</RepresentatedOrRepresentativesNames>
        <RepresentatedOrRepresentativesCount>1</RepresentatedOrRepresentativesCount>
        <InvitedBy/>
        <CaseID>81322983</CaseID>
        <CaseJudicialPersonPresentationDS>
          <CaseJudicalPersonActive>
            <CaseID>81322983</CaseID>
            <JudicialPersonID>034342147@GOV.IL</JudicialPersonID>
            <JudicialPersonTypeID>1</JudicialPersonTypeID>
            <JudicialTypeID>1</JudicialTypeID>
            <IsChairman>false</IsChairman>
            <TreatmentStartDate>2024-06-19T07:52:32.983+03:00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272965347</CasePartyID>
        <PartyTypeID>2</PartyTypeID>
        <ActivityStatusID>1</ActivityStatusID>
        <PartyAliasID>23</PartyAliasID>
        <PartyAliasName>בא כוח משיבים</PartyAliasName>
        <LegalEntityID>407294</LegalEntityID>
        <CaseLegalEntityID>129728578</CaseLegalEntityID>
        <AuthenticationTypeID>4</AuthenticationTypeID>
        <AuthenticationTypeName>מ.ר.</AuthenticationTypeName>
        <LegalEntityNumber>34877</LegalEntityNumber>
        <IsMainPartyType>true</IsMainPartyType>
        <CaseDisplayIdentifier>39899-06-24</CaseDisplayIdentifier>
        <CaseTypeID>10047</CaseTypeID>
        <CaseTypeName>תביעות בוררות (ת"ב)</CaseTypeName>
        <CaseName>אורן נ' אורן ואח'</CaseName>
        <FullAddress>דרך בגין 150 תל אביב -יפו </FullAddress>
        <EmailAddress>tomer@tavram.co.il</EmailAddress>
        <MotionID>0</MotionID>
        <CasePleaID>0</CasePleaID>
        <LinkedCaseID>0</LinkedCaseID>
        <PartyID>2</PartyID>
        <CasePartyCategoryID>2</CasePartyCategoryID>
        <LegalEntityAddressID>82831438</LegalEntityAddressID>
        <LegalEntityEmailAddressID>68208312</LegalEntityEmailAddressID>
        <PleaTypeID>5</PleaTypeID>
        <LawyerOfficeName>תומר אברהמי-משרד עו"ד </LawyerOfficeName>
        <LawyerOfficeID>447938</LawyerOfficeID>
        <GroupPartyAlias/>
        <IsConverted>false</IsConverted>
        <LegalEntityNameID>17375704</LegalEntityNameID>
        <RepresentatedNamesOfAssistant/>
        <LegalEntityTypeID>4</LegalEntityTypeID>
        <IsVerdictExists>false</IsVerdictExists>
        <IsAsirAzir>false</IsAsirAzir>
        <MainAndSecSpec/>
        <IsPublicationProhibited>false</IsPublicationProhibited>
        <PublicationProhibitedFullName>תומר אברהמי</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חנן אורן</FullName>
        <FirstName>חנן</FirstName>
        <LastName>אורן</LastName>
        <PartyPropertyName/>
        <AuthenticationTypeAndNumber>ת"ז 022548069</AuthenticationTypeAndNumber>
        <RepresentatedOrRepresentativesNames>מיכאל איילון</RepresentatedOrRepresentativesNames>
        <RepresentatedOrRepresentativesCount>1</RepresentatedOrRepresentativesCount>
        <InvitedBy/>
        <CaseID>81322983</CaseID>
        <CaseJudicialPersonPresentationDS>
          <CaseJudicalPersonActive>
            <CaseID>81322983</CaseID>
            <JudicialPersonID>034342147@GOV.IL</JudicialPersonID>
            <JudicialPersonTypeID>1</JudicialPersonTypeID>
            <JudicialTypeID>1</JudicialTypeID>
            <IsChairman>false</IsChairman>
            <TreatmentStartDate>2024-06-19T07:52:32.983+03:00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271616360</CasePartyID>
        <PartyTypeID>1</PartyTypeID>
        <ActivityStatusID>1</ActivityStatusID>
        <PartyAliasID>3</PartyAliasID>
        <PartyAliasName>מבקש</PartyAliasName>
        <OrdinalNumber>1</OrdinalNumber>
        <LegalEntityID>2354623</LegalEntityID>
        <CaseLegalEntityID>129319121</CaseLegalEntityID>
        <AuthenticationTypeID>1</AuthenticationTypeID>
        <AuthenticationTypeName>ת"ז</AuthenticationTypeName>
        <LegalEntityNumber>022548069</LegalEntityNumber>
        <IsMainPartyType>true</IsMainPartyType>
        <CaseDisplayIdentifier>39899-06-24</CaseDisplayIdentifier>
        <CaseTypeID>10047</CaseTypeID>
        <CaseTypeName>תביעות בוררות (ת"ב)</CaseTypeName>
        <CaseName>אורן נ' אורן ואח'</CaseName>
        <FullAddress>המלאכה 29 נתניה </FullAddress>
        <MotionID>0</MotionID>
        <CasePleaID>0</CasePleaID>
        <FatherName>יחיאל</FatherName>
        <LinkedCaseID>0</LinkedCaseID>
        <PartyID>1</PartyID>
        <CasePartyCategoryID>2</CasePartyCategoryID>
        <LegalEntityAddressID>89437630</LegalEntityAddressID>
        <GrandfatherName/>
        <DrivingLicenseNumber>3124153</DrivingLicenseNumber>
        <PleaTypeID>5</PleaTypeID>
        <GroupPartyAlias>מבקשים</GroupPartyAlias>
        <IsConverted>false</IsConverted>
        <LegalEntityRegisteredNameID>352743</LegalEntityRegisteredNameID>
        <LegalEntityNameID>96728978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חנן אורן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מיכאל איילון</FullName>
        <FirstName>מיכאל</FirstName>
        <LastName>איילון</LastName>
        <PartyPropertyName/>
        <AuthenticationTypeAndNumber>מ.ר. 37752</AuthenticationTypeAndNumber>
        <RepresentatedOrRepresentativesNames>חנן אורן</RepresentatedOrRepresentativesNames>
        <RepresentatedOrRepresentativesCount>1</RepresentatedOrRepresentativesCount>
        <InvitedBy/>
        <CaseID>81322983</CaseID>
        <CaseJudicialPersonPresentationDS>
          <CaseJudicalPersonActive>
            <CaseID>81322983</CaseID>
            <JudicialPersonID>034342147@GOV.IL</JudicialPersonID>
            <JudicialPersonTypeID>1</JudicialPersonTypeID>
            <JudicialTypeID>1</JudicialTypeID>
            <IsChairman>false</IsChairman>
            <TreatmentStartDate>2024-06-19T07:52:32.983+03:00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271616361</CasePartyID>
        <PartyTypeID>2</PartyTypeID>
        <ActivityStatusID>1</ActivityStatusID>
        <PartyAliasID>22</PartyAliasID>
        <PartyAliasName>בא כוח מבקשים</PartyAliasName>
        <OrdinalNumber>1</OrdinalNumber>
        <LegalEntityID>409560</LegalEntityID>
        <CaseLegalEntityID>129319122</CaseLegalEntityID>
        <AuthenticationTypeID>4</AuthenticationTypeID>
        <AuthenticationTypeName>מ.ר.</AuthenticationTypeName>
        <LegalEntityNumber>37752</LegalEntityNumber>
        <IsMainPartyType>true</IsMainPartyType>
        <CaseDisplayIdentifier>39899-06-24</CaseDisplayIdentifier>
        <CaseTypeID>10047</CaseTypeID>
        <CaseTypeName>תביעות בוררות (ת"ב)</CaseTypeName>
        <CaseName>אורן נ' אורן ואח'</CaseName>
        <FullAddress>החרש 20 תל אביב -יפו </FullAddress>
        <EmailAddress>office@gornitzky.com</EmailAddress>
        <MotionID>0</MotionID>
        <CasePleaID>0</CasePleaID>
        <FatherName xml:space="preserve">        </FatherName>
        <LinkedCaseID>0</LinkedCaseID>
        <PartyID>1</PartyID>
        <CasePartyCategoryID>2</CasePartyCategoryID>
        <LegalEntityAddressID>85690534</LegalEntityAddressID>
        <LegalEntityEmailAddressID>55828198</LegalEntityEmailAddressID>
        <PleaTypeID>5</PleaTypeID>
        <LawyerOfficeName>משרד עו"ד גורניצקי ושות'</LawyerOfficeName>
        <LawyerOfficeID>15880849</LawyerOfficeID>
        <GroupPartyAlias/>
        <IsConverted>false</IsConverted>
        <LegalEntityNameID>30544</LegalEntityNameID>
        <RepresentatedNamesOfAssistant/>
        <LegalEntityTypeID>4</LegalEntityTypeID>
        <IsVerdictExists>false</IsVerdictExists>
        <IsAsirAzir>false</IsAsirAzir>
        <MainAndSecSpec/>
        <IsPublicationProhibited>false</IsPublicationProhibited>
        <PublicationProhibitedFullName>מיכאל איילון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אופירה אורן</FullName>
        <FirstName>אופירה</FirstName>
        <LastName>אורן</LastName>
        <PartyPropertyName/>
        <AuthenticationTypeAndNumber>ת"ז 028141521</AuthenticationTypeAndNumber>
        <RepresentatedOrRepresentativesNames>תומר אברהמי</RepresentatedOrRepresentativesNames>
        <RepresentatedOrRepresentativesCount>1</RepresentatedOrRepresentativesCount>
        <InvitedBy/>
        <CaseID>81322983</CaseID>
        <CaseJudicialPersonPresentationDS>
          <CaseJudicalPersonActive>
            <CaseID>81322983</CaseID>
            <JudicialPersonID>034342147@GOV.IL</JudicialPersonID>
            <JudicialPersonTypeID>1</JudicialPersonTypeID>
            <JudicialTypeID>1</JudicialTypeID>
            <IsChairman>false</IsChairman>
            <TreatmentStartDate>2024-06-19T07:52:32.983+03:00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271616362</CasePartyID>
        <PartyTypeID>1</PartyTypeID>
        <ActivityStatusID>1</ActivityStatusID>
        <PartyAliasID>4</PartyAliasID>
        <PartyAliasName>משיב</PartyAliasName>
        <OrdinalNumber>1</OrdinalNumber>
        <LegalEntityID>69586998</LegalEntityID>
        <CaseLegalEntityID>129319123</CaseLegalEntityID>
        <AuthenticationTypeID>1</AuthenticationTypeID>
        <AuthenticationTypeName>ת"ז</AuthenticationTypeName>
        <LegalEntityNumber>028141521</LegalEntityNumber>
        <IsMainPartyType>true</IsMainPartyType>
        <CaseDisplayIdentifier>39899-06-24</CaseDisplayIdentifier>
        <CaseTypeID>10047</CaseTypeID>
        <CaseTypeName>תביעות בוררות (ת"ב)</CaseTypeName>
        <CaseName>אורן נ' אורן ואח'</CaseName>
        <FullAddress>הכרכום 22 זכרון יעקב </FullAddress>
        <MotionID>0</MotionID>
        <CasePleaID>0</CasePleaID>
        <FatherName>טומס</FatherName>
        <LinkedCaseID>0</LinkedCaseID>
        <PartyID>2</PartyID>
        <CasePartyCategoryID>2</CasePartyCategoryID>
        <LegalEntityAddressID>89437631</LegalEntityAddressID>
        <PleaTypeID>5</PleaTypeID>
        <GroupPartyAlias>משיבים</GroupPartyAlias>
        <IsConverted>false</IsConverted>
        <LegalEntityRegisteredNameID>2178454</LegalEntityRegisteredNameID>
        <LegalEntityNameID>96728979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אופירה אורן</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תומס (טומי) נדשי</FullName>
        <FirstName>טומס</FirstName>
        <LastName>נדשי</LastName>
        <PartyPropertyName/>
        <AuthenticationTypeAndNumber>ת"ז 076655547</AuthenticationTypeAndNumber>
        <RepresentatedOrRepresentativesNames>טומס נדשי</RepresentatedOrRepresentativesNames>
        <RepresentatedOrRepresentativesCount>1</RepresentatedOrRepresentativesCount>
        <InvitedBy/>
        <CaseID>81322983</CaseID>
        <CaseJudicialPersonPresentationDS>
          <CaseJudicalPersonActive>
            <CaseID>81322983</CaseID>
            <JudicialPersonID>034342147@GOV.IL</JudicialPersonID>
            <JudicialPersonTypeID>1</JudicialPersonTypeID>
            <JudicialTypeID>1</JudicialTypeID>
            <IsChairman>false</IsChairman>
            <TreatmentStartDate>2024-06-19T07:52:32.983+03:00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271616363</CasePartyID>
        <PartyTypeID>1</PartyTypeID>
        <ActivityStatusID>1</ActivityStatusID>
        <PartyAliasID>4</PartyAliasID>
        <PartyAliasName>משיב</PartyAliasName>
        <OrdinalNumber>2</OrdinalNumber>
        <LegalEntityID>6223999</LegalEntityID>
        <CaseLegalEntityID>129319124</CaseLegalEntityID>
        <AuthenticationTypeID>1</AuthenticationTypeID>
        <AuthenticationTypeName>ת"ז</AuthenticationTypeName>
        <LegalEntityNumber>076655547</LegalEntityNumber>
        <IsMainPartyType>true</IsMainPartyType>
        <CaseDisplayIdentifier>39899-06-24</CaseDisplayIdentifier>
        <CaseTypeID>10047</CaseTypeID>
        <CaseTypeName>תביעות בוררות (ת"ב)</CaseTypeName>
        <CaseName>אורן נ' אורן ואח'</CaseName>
        <FullAddress>הפל ים 2 חיפה </FullAddress>
        <MotionID>0</MotionID>
        <CasePleaID>0</CasePleaID>
        <FatherName>גאורג</FatherName>
        <LinkedCaseID>0</LinkedCaseID>
        <PartyID>2</PartyID>
        <CasePartyCategoryID>2</CasePartyCategoryID>
        <LegalEntityAddressID>89437632</LegalEntityAddressID>
        <PleaTypeID>5</PleaTypeID>
        <GroupPartyAlias>משיבים</GroupPartyAlias>
        <IsConverted>false</IsConverted>
        <LegalEntityRegisteredNameID>1761318</LegalEntityRegisteredNameID>
        <LegalEntityNameID>96797752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תומס (טומי) נדשי</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איתן קוהלי</FullName>
        <FirstName>איתן</FirstName>
        <LastName>קוהלי</LastName>
        <PartyPropertyName/>
        <AuthenticationTypeAndNumber>ת"ז 023761448</AuthenticationTypeAndNumber>
        <RepresentatedOrRepresentativesNames>איתן קוהלי</RepresentatedOrRepresentativesNames>
        <RepresentatedOrRepresentativesCount>1</RepresentatedOrRepresentativesCount>
        <InvitedBy/>
        <CaseID>81322983</CaseID>
        <CaseJudicialPersonPresentationDS>
          <CaseJudicalPersonActive>
            <CaseID>81322983</CaseID>
            <JudicialPersonID>034342147@GOV.IL</JudicialPersonID>
            <JudicialPersonTypeID>1</JudicialPersonTypeID>
            <JudicialTypeID>1</JudicialTypeID>
            <IsChairman>false</IsChairman>
            <TreatmentStartDate>2024-06-19T07:52:32.983+03:00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271616364</CasePartyID>
        <PartyTypeID>1</PartyTypeID>
        <ActivityStatusID>1</ActivityStatusID>
        <PartyAliasID>4</PartyAliasID>
        <PartyAliasName>משיב</PartyAliasName>
        <OrdinalNumber>3</OrdinalNumber>
        <LegalEntityID>21983927</LegalEntityID>
        <CaseLegalEntityID>129319125</CaseLegalEntityID>
        <AuthenticationTypeID>1</AuthenticationTypeID>
        <AuthenticationTypeName>ת"ז</AuthenticationTypeName>
        <LegalEntityNumber>023761448</LegalEntityNumber>
        <IsMainPartyType>true</IsMainPartyType>
        <CaseDisplayIdentifier>39899-06-24</CaseDisplayIdentifier>
        <CaseTypeID>10047</CaseTypeID>
        <CaseTypeName>תביעות בוררות (ת"ב)</CaseTypeName>
        <CaseName>אורן נ' אורן ואח'</CaseName>
        <FullAddress>רשי 5 רמת גן </FullAddress>
        <MotionID>0</MotionID>
        <CasePleaID>0</CasePleaID>
        <FatherName>רפאל</FatherName>
        <LinkedCaseID>0</LinkedCaseID>
        <PartyID>2</PartyID>
        <CasePartyCategoryID>2</CasePartyCategoryID>
        <LegalEntityAddressID>89437633</LegalEntityAddressID>
        <GrandfatherName/>
        <DrivingLicenseNumber>2356542</DrivingLicenseNumber>
        <PleaTypeID>5</PleaTypeID>
        <GroupPartyAlias>משיבים</GroupPartyAlias>
        <IsConverted>false</IsConverted>
        <LegalEntityRegisteredNameID>2148959</LegalEntityRegisteredNameID>
        <LegalEntityNameID>96797787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איתן קוהלי</PublicationProhibitedFullName>
      </CaseParties>
    </CasePartiesSelectionDS>
    <CaseName>אורן נ' אורן ואח'</CaseName>
    <CaseDisplayIdentifier>39899-06-24</CaseDisplayIdentifier>
    <CaseInterestID>1</CaseInterestID>
    <CaseTypeShortName>ת"ב</CaseTypeShortName>
  </dt_DecisionCase>
  <dt_DecisionJudgePanel>
    <JudgeID>034342147@GOV.IL</JudgeID>
    <DisplayName>יפעת שקדי שץ</DisplayName>
    <RoleName>שופט</RoleName>
    <UserTitleName>שופטת</UserTitleName>
  </dt_DecisionJudgePanel>
  <dt_LegalEntityDetails>
    <Fax>03-6128131</Fax>
    <Phone>03-6127767</Phone>
    <PartyID>2</PartyID>
    <PartyTypeID>2</PartyTypeID>
    <DecisionID>0</DecisionID>
    <StreetName>רש"י 5</StreetName>
    <ZipCode>52560</ZipCode>
    <CityName>רמת גן</CityName>
    <FullName>איתן קוהלי</FullName>
    <Email>kohali@zahav.net.il</Email>
    <IsPublicationProhibited>false</IsPublicationProhibited>
  </dt_LegalEntityDetails>
  <dt_LegalEntityDetails>
    <Fax>04-8625538</Fax>
    <Phone>04-8625313</Phone>
    <AddressDesc/>
    <PartyID>2</PartyID>
    <PartyTypeID>2</PartyTypeID>
    <DecisionID>0</DecisionID>
    <StreetName>פל-ים 2</StreetName>
    <ZipCode>31000</ZipCode>
    <CityName>חיפה</CityName>
    <FullName>טומס נדשי</FullName>
    <Email>tomi@nadashi.co.il</Email>
    <IsPublicationProhibited>false</IsPublicationProhibited>
  </dt_LegalEntityDetails>
  <dt_LegalEntityDetails>
    <Fax>04-6266313</Fax>
    <Phone>073-7895000</Phone>
    <PartyID>2</PartyID>
    <PartyTypeID>2</PartyTypeID>
    <DecisionID>0</DecisionID>
    <StreetName>דרך בגין 150</StreetName>
    <ZipCode>6492105</ZipCode>
    <CityName>תל אביב -יפו</CityName>
    <FullName>תומר אברהמי</FullName>
    <Email>tomer@tavram.co.il</Email>
    <IsPublicationProhibited>false</IsPublicationProhibited>
  </dt_LegalEntityDetails>
  <dt_LegalEntityDetails>
    <PartyID>1</PartyID>
    <PartyTypeID>1</PartyTypeID>
    <DecisionID>0</DecisionID>
    <StreetName>המלאכה 29 </StreetName>
    <CityName>נתניה</CityName>
    <FullName>חנן אורן</FullName>
    <IsPublicationProhibited>false</IsPublicationProhibited>
  </dt_LegalEntityDetails>
  <dt_LegalEntityDetails>
    <Fax>03-5606555</Fax>
    <Phone>03-7109191</Phone>
    <PartyID>1</PartyID>
    <PartyTypeID>2</PartyTypeID>
    <DecisionID>0</DecisionID>
    <StreetName>החרש 20</StreetName>
    <ZipCode>6761310</ZipCode>
    <CityName>תל אביב -יפו</CityName>
    <FullName>מיכאל איילון</FullName>
    <Email>office@gornitzky.com</Email>
    <IsPublicationProhibited>false</IsPublicationProhibited>
  </dt_LegalEntityDetails>
  <dt_LegalEntityDetails>
    <PartyID>2</PartyID>
    <PartyTypeID>1</PartyTypeID>
    <DecisionID>0</DecisionID>
    <StreetName>הכרכום 22</StreetName>
    <CityName>זכרון יעקב</CityName>
    <FullName>אופירה אורן</FullName>
    <IsPublicationProhibited>false</IsPublicationProhibited>
  </dt_LegalEntityDetails>
  <dt_LegalEntityDetails>
    <PartyID>2</PartyID>
    <PartyTypeID>1</PartyTypeID>
    <DecisionID>0</DecisionID>
    <StreetName>הפל ים 2</StreetName>
    <CityName>חיפה</CityName>
    <FullName>תומס (טומי) נדשי</FullName>
    <IsPublicationProhibited>false</IsPublicationProhibited>
  </dt_LegalEntityDetails>
  <dt_LegalEntityDetails>
    <PartyID>2</PartyID>
    <PartyTypeID>1</PartyTypeID>
    <DecisionID>0</DecisionID>
    <StreetName>רשי 5</StreetName>
    <CityName>רמת גן</CityName>
    <FullName>איתן קוהלי</FullName>
    <IsPublicationProhibited>false</IsPublicationProhibited>
  </dt_LegalEntityDetails>
  <dt_CaseJudicalPersonActive>
    <CaseJudicalPerson>שופטת יפעת שקדי שץ</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AC125E-7824-416E-8E55-2C32D34C5AE6}">
  <ds:schemaRefs/>
</ds:datastoreItem>
</file>

<file path=customXml/itemProps2.xml><?xml version="1.0" encoding="utf-8"?>
<ds:datastoreItem xmlns:ds="http://schemas.openxmlformats.org/officeDocument/2006/customXml" ds:itemID="{BBCFBE43-114D-42EF-B3ED-4B6AF4EBE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2758</Words>
  <Characters>13790</Characters>
  <Application>Microsoft Office Word</Application>
  <DocSecurity>0</DocSecurity>
  <Lines>114</Lines>
  <Paragraphs>33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16515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2024-10-14T07:07:00Z</dcterms:created>
  <dcterms:modified xsi:type="dcterms:W3CDTF">2024-10-14T07:07:00Z</dcterms:modified>
</cp:coreProperties>
</file>